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F5D7">
      <w:pPr>
        <w:keepNext w:val="0"/>
        <w:keepLines w:val="0"/>
        <w:pageBreakBefore w:val="0"/>
        <w:kinsoku/>
        <w:wordWrap/>
        <w:overflowPunct/>
        <w:topLinePunct w:val="0"/>
        <w:autoSpaceDE/>
        <w:autoSpaceDN/>
        <w:bidi w:val="0"/>
        <w:adjustRightInd/>
        <w:snapToGrid/>
        <w:spacing w:line="360" w:lineRule="auto"/>
      </w:pPr>
      <w:r>
        <w:rPr>
          <w:rFonts w:hint="eastAsia"/>
        </w:rPr>
        <w:t xml:space="preserve"> </w:t>
      </w:r>
    </w:p>
    <w:p w14:paraId="0AE41793">
      <w:pPr>
        <w:keepNext w:val="0"/>
        <w:keepLines w:val="0"/>
        <w:pageBreakBefore w:val="0"/>
        <w:kinsoku/>
        <w:wordWrap/>
        <w:overflowPunct/>
        <w:topLinePunct w:val="0"/>
        <w:autoSpaceDE/>
        <w:autoSpaceDN/>
        <w:bidi w:val="0"/>
        <w:adjustRightInd/>
        <w:snapToGrid/>
        <w:spacing w:line="360" w:lineRule="auto"/>
        <w:jc w:val="center"/>
        <w:rPr>
          <w:sz w:val="72"/>
          <w:szCs w:val="144"/>
        </w:rPr>
      </w:pPr>
      <w:r>
        <w:rPr>
          <w:rFonts w:hint="eastAsia"/>
          <w:sz w:val="72"/>
          <w:szCs w:val="144"/>
        </w:rPr>
        <w:t>202</w:t>
      </w:r>
      <w:r>
        <w:rPr>
          <w:rFonts w:hint="eastAsia"/>
          <w:sz w:val="72"/>
          <w:szCs w:val="144"/>
          <w:lang w:val="en-US" w:eastAsia="zh-CN"/>
        </w:rPr>
        <w:t>3</w:t>
      </w:r>
      <w:r>
        <w:rPr>
          <w:rFonts w:hint="eastAsia"/>
          <w:sz w:val="72"/>
          <w:szCs w:val="144"/>
        </w:rPr>
        <w:t>年度</w:t>
      </w:r>
    </w:p>
    <w:p w14:paraId="50461052">
      <w:pPr>
        <w:keepNext w:val="0"/>
        <w:keepLines w:val="0"/>
        <w:pageBreakBefore w:val="0"/>
        <w:kinsoku/>
        <w:wordWrap/>
        <w:overflowPunct/>
        <w:topLinePunct w:val="0"/>
        <w:autoSpaceDE/>
        <w:autoSpaceDN/>
        <w:bidi w:val="0"/>
        <w:adjustRightInd/>
        <w:snapToGrid/>
        <w:spacing w:line="360" w:lineRule="auto"/>
        <w:jc w:val="center"/>
        <w:rPr>
          <w:sz w:val="72"/>
          <w:szCs w:val="144"/>
        </w:rPr>
      </w:pPr>
      <w:r>
        <w:rPr>
          <w:rFonts w:hint="eastAsia"/>
          <w:sz w:val="72"/>
          <w:szCs w:val="144"/>
        </w:rPr>
        <w:t>企业质量诚信报告</w:t>
      </w:r>
    </w:p>
    <w:p w14:paraId="4C62BD03">
      <w:pPr>
        <w:keepNext w:val="0"/>
        <w:keepLines w:val="0"/>
        <w:pageBreakBefore w:val="0"/>
        <w:kinsoku/>
        <w:wordWrap/>
        <w:overflowPunct/>
        <w:topLinePunct w:val="0"/>
        <w:autoSpaceDE/>
        <w:autoSpaceDN/>
        <w:bidi w:val="0"/>
        <w:adjustRightInd/>
        <w:snapToGrid/>
        <w:spacing w:line="360" w:lineRule="auto"/>
        <w:jc w:val="center"/>
        <w:rPr>
          <w:sz w:val="56"/>
          <w:szCs w:val="96"/>
        </w:rPr>
      </w:pPr>
    </w:p>
    <w:p w14:paraId="0DCA13C0">
      <w:pPr>
        <w:keepNext w:val="0"/>
        <w:keepLines w:val="0"/>
        <w:pageBreakBefore w:val="0"/>
        <w:kinsoku/>
        <w:wordWrap/>
        <w:overflowPunct/>
        <w:topLinePunct w:val="0"/>
        <w:autoSpaceDE/>
        <w:autoSpaceDN/>
        <w:bidi w:val="0"/>
        <w:adjustRightInd/>
        <w:snapToGrid/>
        <w:spacing w:line="360" w:lineRule="auto"/>
        <w:jc w:val="center"/>
        <w:rPr>
          <w:sz w:val="56"/>
          <w:szCs w:val="96"/>
        </w:rPr>
      </w:pPr>
    </w:p>
    <w:p w14:paraId="7E168826">
      <w:pPr>
        <w:keepNext w:val="0"/>
        <w:keepLines w:val="0"/>
        <w:pageBreakBefore w:val="0"/>
        <w:kinsoku/>
        <w:wordWrap/>
        <w:overflowPunct/>
        <w:topLinePunct w:val="0"/>
        <w:autoSpaceDE/>
        <w:autoSpaceDN/>
        <w:bidi w:val="0"/>
        <w:adjustRightInd/>
        <w:snapToGrid/>
        <w:spacing w:line="360" w:lineRule="auto"/>
        <w:rPr>
          <w:rFonts w:hint="eastAsia" w:eastAsiaTheme="minorEastAsia"/>
          <w:lang w:val="en-US" w:eastAsia="zh-CN"/>
        </w:rPr>
      </w:pPr>
      <w:r>
        <w:drawing>
          <wp:inline distT="0" distB="0" distL="114300" distR="114300">
            <wp:extent cx="5535295" cy="2614295"/>
            <wp:effectExtent l="0" t="0" r="1206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35295" cy="2614295"/>
                    </a:xfrm>
                    <a:prstGeom prst="rect">
                      <a:avLst/>
                    </a:prstGeom>
                    <a:noFill/>
                    <a:ln>
                      <a:noFill/>
                    </a:ln>
                  </pic:spPr>
                </pic:pic>
              </a:graphicData>
            </a:graphic>
          </wp:inline>
        </w:drawing>
      </w:r>
      <w:r>
        <w:rPr>
          <w:rFonts w:hint="eastAsia"/>
          <w:lang w:val="en-US" w:eastAsia="zh-CN"/>
        </w:rPr>
        <w:t>0</w:t>
      </w:r>
    </w:p>
    <w:p w14:paraId="134C36BA">
      <w:pPr>
        <w:keepNext w:val="0"/>
        <w:keepLines w:val="0"/>
        <w:pageBreakBefore w:val="0"/>
        <w:kinsoku/>
        <w:wordWrap/>
        <w:overflowPunct/>
        <w:topLinePunct w:val="0"/>
        <w:autoSpaceDE/>
        <w:autoSpaceDN/>
        <w:bidi w:val="0"/>
        <w:adjustRightInd/>
        <w:snapToGrid/>
        <w:spacing w:line="360" w:lineRule="auto"/>
      </w:pPr>
    </w:p>
    <w:p w14:paraId="42E9D1BE">
      <w:pPr>
        <w:keepNext w:val="0"/>
        <w:keepLines w:val="0"/>
        <w:pageBreakBefore w:val="0"/>
        <w:kinsoku/>
        <w:wordWrap/>
        <w:overflowPunct/>
        <w:topLinePunct w:val="0"/>
        <w:autoSpaceDE/>
        <w:autoSpaceDN/>
        <w:bidi w:val="0"/>
        <w:adjustRightInd/>
        <w:snapToGrid/>
        <w:spacing w:line="360" w:lineRule="auto"/>
        <w:rPr>
          <w:sz w:val="48"/>
          <w:szCs w:val="56"/>
        </w:rPr>
      </w:pPr>
    </w:p>
    <w:p w14:paraId="6D166F66">
      <w:pPr>
        <w:keepNext w:val="0"/>
        <w:keepLines w:val="0"/>
        <w:pageBreakBefore w:val="0"/>
        <w:kinsoku/>
        <w:wordWrap/>
        <w:overflowPunct/>
        <w:topLinePunct w:val="0"/>
        <w:autoSpaceDE/>
        <w:autoSpaceDN/>
        <w:bidi w:val="0"/>
        <w:adjustRightInd/>
        <w:snapToGrid/>
        <w:spacing w:line="360" w:lineRule="auto"/>
        <w:jc w:val="center"/>
        <w:rPr>
          <w:sz w:val="48"/>
          <w:szCs w:val="56"/>
        </w:rPr>
      </w:pPr>
    </w:p>
    <w:p w14:paraId="51E49C4F">
      <w:pPr>
        <w:keepNext w:val="0"/>
        <w:keepLines w:val="0"/>
        <w:pageBreakBefore w:val="0"/>
        <w:kinsoku/>
        <w:wordWrap/>
        <w:overflowPunct/>
        <w:topLinePunct w:val="0"/>
        <w:autoSpaceDE/>
        <w:autoSpaceDN/>
        <w:bidi w:val="0"/>
        <w:adjustRightInd/>
        <w:snapToGrid/>
        <w:spacing w:line="360" w:lineRule="auto"/>
        <w:jc w:val="both"/>
        <w:rPr>
          <w:sz w:val="48"/>
          <w:szCs w:val="56"/>
        </w:rPr>
      </w:pPr>
    </w:p>
    <w:p w14:paraId="1166D2EB">
      <w:pPr>
        <w:keepNext w:val="0"/>
        <w:keepLines w:val="0"/>
        <w:pageBreakBefore w:val="0"/>
        <w:kinsoku/>
        <w:wordWrap/>
        <w:overflowPunct/>
        <w:topLinePunct w:val="0"/>
        <w:autoSpaceDE/>
        <w:autoSpaceDN/>
        <w:bidi w:val="0"/>
        <w:adjustRightInd/>
        <w:snapToGrid/>
        <w:spacing w:line="360" w:lineRule="auto"/>
        <w:jc w:val="center"/>
        <w:rPr>
          <w:sz w:val="48"/>
          <w:szCs w:val="56"/>
        </w:rPr>
      </w:pPr>
    </w:p>
    <w:p w14:paraId="284950C5">
      <w:pPr>
        <w:keepNext w:val="0"/>
        <w:keepLines w:val="0"/>
        <w:pageBreakBefore w:val="0"/>
        <w:kinsoku/>
        <w:wordWrap/>
        <w:overflowPunct/>
        <w:topLinePunct w:val="0"/>
        <w:autoSpaceDE/>
        <w:autoSpaceDN/>
        <w:bidi w:val="0"/>
        <w:adjustRightInd/>
        <w:snapToGrid/>
        <w:spacing w:line="360" w:lineRule="auto"/>
        <w:jc w:val="center"/>
        <w:rPr>
          <w:sz w:val="48"/>
          <w:szCs w:val="56"/>
        </w:rPr>
      </w:pPr>
      <w:r>
        <w:rPr>
          <w:rFonts w:hint="eastAsia"/>
          <w:sz w:val="48"/>
          <w:szCs w:val="56"/>
        </w:rPr>
        <w:t>火星人厨具股份有限公司</w:t>
      </w:r>
    </w:p>
    <w:p w14:paraId="2FC811B3">
      <w:pPr>
        <w:keepNext w:val="0"/>
        <w:keepLines w:val="0"/>
        <w:pageBreakBefore w:val="0"/>
        <w:kinsoku/>
        <w:wordWrap/>
        <w:overflowPunct/>
        <w:topLinePunct w:val="0"/>
        <w:autoSpaceDE/>
        <w:autoSpaceDN/>
        <w:bidi w:val="0"/>
        <w:adjustRightInd/>
        <w:snapToGrid/>
        <w:spacing w:line="360" w:lineRule="auto"/>
        <w:jc w:val="center"/>
        <w:rPr>
          <w:rFonts w:hint="eastAsia" w:eastAsiaTheme="minorEastAsia"/>
          <w:lang w:val="en-US" w:eastAsia="zh-CN"/>
        </w:rPr>
      </w:pPr>
      <w:r>
        <w:rPr>
          <w:rFonts w:hint="eastAsia"/>
          <w:sz w:val="48"/>
          <w:szCs w:val="56"/>
        </w:rPr>
        <w:t>二〇二</w:t>
      </w:r>
      <w:r>
        <w:rPr>
          <w:rFonts w:hint="eastAsia"/>
          <w:sz w:val="48"/>
          <w:szCs w:val="56"/>
          <w:lang w:val="en-US" w:eastAsia="zh-CN"/>
        </w:rPr>
        <w:t>四</w:t>
      </w:r>
      <w:r>
        <w:rPr>
          <w:rFonts w:hint="eastAsia"/>
          <w:sz w:val="48"/>
          <w:szCs w:val="56"/>
        </w:rPr>
        <w:t>年</w:t>
      </w:r>
      <w:r>
        <w:rPr>
          <w:rFonts w:hint="eastAsia"/>
          <w:sz w:val="48"/>
          <w:szCs w:val="56"/>
          <w:lang w:val="en-US" w:eastAsia="zh-CN"/>
        </w:rPr>
        <w:t>九</w:t>
      </w:r>
      <w:r>
        <w:rPr>
          <w:rFonts w:hint="eastAsia"/>
          <w:sz w:val="48"/>
          <w:szCs w:val="56"/>
        </w:rPr>
        <w:t>月</w:t>
      </w:r>
    </w:p>
    <w:p w14:paraId="3462DFED">
      <w:pPr>
        <w:keepNext w:val="0"/>
        <w:keepLines w:val="0"/>
        <w:pageBreakBefore w:val="0"/>
        <w:kinsoku/>
        <w:wordWrap/>
        <w:overflowPunct/>
        <w:topLinePunct w:val="0"/>
        <w:autoSpaceDE/>
        <w:autoSpaceDN/>
        <w:bidi w:val="0"/>
        <w:adjustRightInd/>
        <w:snapToGrid/>
        <w:spacing w:line="360" w:lineRule="auto"/>
        <w:jc w:val="both"/>
        <w:rPr>
          <w:sz w:val="56"/>
          <w:szCs w:val="96"/>
        </w:rPr>
      </w:pPr>
    </w:p>
    <w:sdt>
      <w:sdtPr>
        <w:rPr>
          <w:rFonts w:ascii="宋体" w:hAnsi="宋体" w:eastAsia="宋体" w:cs="Times New Roman"/>
          <w:sz w:val="36"/>
          <w:szCs w:val="44"/>
        </w:rPr>
        <w:id w:val="147453748"/>
        <w15:color w:val="DBDBDB"/>
        <w:docPartObj>
          <w:docPartGallery w:val="Table of Contents"/>
          <w:docPartUnique/>
        </w:docPartObj>
      </w:sdtPr>
      <w:sdtEndPr>
        <w:rPr>
          <w:rFonts w:hint="eastAsia" w:ascii="宋体" w:hAnsi="宋体" w:eastAsia="宋体" w:cs="宋体"/>
          <w:sz w:val="24"/>
          <w:szCs w:val="24"/>
        </w:rPr>
      </w:sdtEndPr>
      <w:sdtContent>
        <w:p w14:paraId="1544AD66">
          <w:pPr>
            <w:keepNext w:val="0"/>
            <w:keepLines w:val="0"/>
            <w:pageBreakBefore w:val="0"/>
            <w:kinsoku/>
            <w:wordWrap/>
            <w:overflowPunct/>
            <w:topLinePunct w:val="0"/>
            <w:autoSpaceDE/>
            <w:autoSpaceDN/>
            <w:bidi w:val="0"/>
            <w:adjustRightInd/>
            <w:snapToGrid/>
            <w:spacing w:line="360" w:lineRule="auto"/>
            <w:jc w:val="center"/>
            <w:rPr>
              <w:sz w:val="36"/>
              <w:szCs w:val="44"/>
            </w:rPr>
          </w:pPr>
          <w:r>
            <w:rPr>
              <w:rFonts w:ascii="宋体" w:hAnsi="宋体" w:eastAsia="宋体"/>
              <w:sz w:val="36"/>
              <w:szCs w:val="44"/>
            </w:rPr>
            <w:t>目录</w:t>
          </w:r>
        </w:p>
        <w:p w14:paraId="0CD25FFD">
          <w:pPr>
            <w:pStyle w:val="19"/>
            <w:keepNext w:val="0"/>
            <w:keepLines w:val="0"/>
            <w:pageBreakBefore w:val="0"/>
            <w:tabs>
              <w:tab w:val="right" w:leader="dot" w:pos="8306"/>
            </w:tabs>
            <w:kinsoku/>
            <w:wordWrap/>
            <w:overflowPunct/>
            <w:topLinePunct w:val="0"/>
            <w:autoSpaceDE/>
            <w:autoSpaceDN/>
            <w:bidi w:val="0"/>
            <w:adjustRightInd/>
            <w:snapToGrid/>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"_Toc4125" </w:instrText>
          </w:r>
          <w:r>
            <w:fldChar w:fldCharType="separate"/>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年度企业质量诚信报告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_Toc4125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5C72BD7D">
          <w:pPr>
            <w:pStyle w:val="19"/>
            <w:keepNext w:val="0"/>
            <w:keepLines w:val="0"/>
            <w:pageBreakBefore w:val="0"/>
            <w:tabs>
              <w:tab w:val="right" w:leader="dot" w:pos="8306"/>
            </w:tabs>
            <w:kinsoku/>
            <w:wordWrap/>
            <w:overflowPunct/>
            <w:topLinePunct w:val="0"/>
            <w:autoSpaceDE/>
            <w:autoSpaceDN/>
            <w:bidi w:val="0"/>
            <w:adjustRightInd/>
            <w:snapToGrid/>
            <w:spacing w:line="360" w:lineRule="auto"/>
            <w:rPr>
              <w:rFonts w:ascii="宋体" w:hAnsi="宋体" w:cs="宋体"/>
              <w:sz w:val="24"/>
              <w:szCs w:val="24"/>
            </w:rPr>
          </w:pPr>
          <w:r>
            <w:fldChar w:fldCharType="begin"/>
          </w:r>
          <w:r>
            <w:instrText xml:space="preserve"> HYPERLINK \l "_Toc16377" </w:instrText>
          </w:r>
          <w:r>
            <w:fldChar w:fldCharType="separate"/>
          </w:r>
          <w:r>
            <w:rPr>
              <w:rFonts w:hint="eastAsia" w:ascii="宋体" w:hAnsi="宋体" w:cs="宋体"/>
              <w:sz w:val="24"/>
              <w:szCs w:val="24"/>
            </w:rPr>
            <w:t>第一部分报告前言</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_Toc16377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5AEFD95F">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"_Toc23944" </w:instrText>
          </w:r>
          <w:r>
            <w:fldChar w:fldCharType="separate"/>
          </w:r>
          <w:r>
            <w:rPr>
              <w:rFonts w:hint="eastAsia" w:ascii="宋体" w:hAnsi="宋体" w:cs="宋体"/>
              <w:sz w:val="24"/>
              <w:szCs w:val="24"/>
            </w:rPr>
            <w:t>一、报告编制规范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_Toc23944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5CEE7F3">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"_Toc10786" </w:instrText>
          </w:r>
          <w:r>
            <w:fldChar w:fldCharType="separate"/>
          </w:r>
          <w:r>
            <w:rPr>
              <w:rFonts w:hint="eastAsia" w:ascii="宋体" w:hAnsi="宋体" w:cs="宋体"/>
              <w:sz w:val="24"/>
              <w:szCs w:val="24"/>
            </w:rPr>
            <w:t>二、企业高层致辞</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_Toc10786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1E268E11">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"_Toc3700" </w:instrText>
          </w:r>
          <w:r>
            <w:fldChar w:fldCharType="separate"/>
          </w:r>
          <w:r>
            <w:rPr>
              <w:rFonts w:hint="eastAsia" w:ascii="宋体" w:hAnsi="宋体" w:cs="宋体"/>
              <w:sz w:val="24"/>
              <w:szCs w:val="24"/>
            </w:rPr>
            <w:t>三、企业简介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7917194">
          <w:pPr>
            <w:pStyle w:val="19"/>
            <w:keepNext w:val="0"/>
            <w:keepLines w:val="0"/>
            <w:pageBreakBefore w:val="0"/>
            <w:tabs>
              <w:tab w:val="right" w:leader="dot" w:pos="8306"/>
            </w:tabs>
            <w:kinsoku/>
            <w:wordWrap/>
            <w:overflowPunct/>
            <w:topLinePunct w:val="0"/>
            <w:autoSpaceDE/>
            <w:autoSpaceDN/>
            <w:bidi w:val="0"/>
            <w:adjustRightInd/>
            <w:snapToGrid/>
            <w:spacing w:line="360" w:lineRule="auto"/>
            <w:rPr>
              <w:rFonts w:ascii="宋体" w:hAnsi="宋体" w:cs="宋体"/>
              <w:sz w:val="24"/>
              <w:szCs w:val="24"/>
            </w:rPr>
          </w:pPr>
          <w:r>
            <w:fldChar w:fldCharType="begin"/>
          </w:r>
          <w:r>
            <w:instrText xml:space="preserve"> HYPERLINK \l "_Toc5457" </w:instrText>
          </w:r>
          <w:r>
            <w:fldChar w:fldCharType="separate"/>
          </w:r>
          <w:r>
            <w:rPr>
              <w:rFonts w:hint="eastAsia" w:ascii="宋体" w:hAnsi="宋体" w:cs="宋体"/>
              <w:sz w:val="24"/>
              <w:szCs w:val="24"/>
            </w:rPr>
            <w:t>第二部分 报告正文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_Toc5457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0706A87">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"_Toc28336" </w:instrText>
          </w:r>
          <w:r>
            <w:fldChar w:fldCharType="separate"/>
          </w:r>
          <w:r>
            <w:rPr>
              <w:rFonts w:hint="eastAsia" w:ascii="宋体" w:hAnsi="宋体" w:cs="宋体"/>
              <w:sz w:val="24"/>
              <w:szCs w:val="24"/>
            </w:rPr>
            <w:t>一、企业质量理念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_Toc28336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3C4A66B9">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"_Toc15459" </w:instrText>
          </w:r>
          <w:r>
            <w:fldChar w:fldCharType="separate"/>
          </w:r>
          <w:r>
            <w:rPr>
              <w:rFonts w:hint="eastAsia" w:ascii="宋体" w:hAnsi="宋体" w:cs="宋体"/>
              <w:sz w:val="24"/>
              <w:szCs w:val="24"/>
            </w:rPr>
            <w:t>二、企业质量管理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_Toc15459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59B3A3C">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"_Toc6854" </w:instrText>
          </w:r>
          <w:r>
            <w:fldChar w:fldCharType="separate"/>
          </w:r>
          <w:r>
            <w:rPr>
              <w:rFonts w:hint="eastAsia" w:ascii="宋体" w:hAnsi="宋体" w:cs="宋体"/>
              <w:sz w:val="24"/>
              <w:szCs w:val="24"/>
            </w:rPr>
            <w:t>（一）质量管理机构</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_Toc6854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D95A8B1">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"_Toc27218" </w:instrText>
          </w:r>
          <w:r>
            <w:fldChar w:fldCharType="separate"/>
          </w:r>
          <w:r>
            <w:rPr>
              <w:rFonts w:hint="eastAsia" w:ascii="宋体" w:hAnsi="宋体" w:cs="宋体"/>
              <w:sz w:val="24"/>
              <w:szCs w:val="24"/>
            </w:rPr>
            <w:t>（二）质量管理体系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_Toc27218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143D74C">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"_Toc14339" </w:instrText>
          </w:r>
          <w:r>
            <w:fldChar w:fldCharType="separate"/>
          </w:r>
          <w:r>
            <w:rPr>
              <w:rFonts w:hint="eastAsia" w:ascii="宋体" w:hAnsi="宋体" w:cs="宋体"/>
              <w:sz w:val="24"/>
              <w:szCs w:val="24"/>
            </w:rPr>
            <w:t>（三）质量风险管理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_Toc14339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0E4CE8F7">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"_Toc25767" </w:instrText>
          </w:r>
          <w:r>
            <w:fldChar w:fldCharType="separate"/>
          </w:r>
          <w:r>
            <w:rPr>
              <w:rFonts w:hint="eastAsia" w:ascii="宋体" w:hAnsi="宋体" w:cs="宋体"/>
              <w:sz w:val="24"/>
              <w:szCs w:val="24"/>
            </w:rPr>
            <w:t>三、质量诚信管理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_Toc25767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F15BF8E">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"_Toc32134" </w:instrText>
          </w:r>
          <w:r>
            <w:fldChar w:fldCharType="separate"/>
          </w:r>
          <w:r>
            <w:rPr>
              <w:rFonts w:hint="eastAsia" w:ascii="宋体" w:hAnsi="宋体" w:cs="宋体"/>
              <w:sz w:val="24"/>
              <w:szCs w:val="24"/>
            </w:rPr>
            <w:t>（一）质量诚信管理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_Toc32134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5C40082A">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"_Toc30393" </w:instrText>
          </w:r>
          <w:r>
            <w:fldChar w:fldCharType="separate"/>
          </w:r>
          <w:r>
            <w:rPr>
              <w:rFonts w:hint="eastAsia" w:ascii="宋体" w:hAnsi="宋体" w:cs="宋体"/>
              <w:sz w:val="24"/>
              <w:szCs w:val="24"/>
            </w:rPr>
            <w:t>（二）质量文化建设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_Toc30393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55C0AF0D">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"_Toc7963" </w:instrText>
          </w:r>
          <w:r>
            <w:fldChar w:fldCharType="separate"/>
          </w:r>
          <w:r>
            <w:rPr>
              <w:rFonts w:hint="eastAsia" w:ascii="宋体" w:hAnsi="宋体" w:cs="宋体"/>
              <w:sz w:val="24"/>
              <w:szCs w:val="24"/>
            </w:rPr>
            <w:t>四、企业质量基础</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_Toc7963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2C2A78A">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"_Toc2992" </w:instrText>
          </w:r>
          <w:r>
            <w:fldChar w:fldCharType="separate"/>
          </w:r>
          <w:r>
            <w:rPr>
              <w:rFonts w:hint="eastAsia" w:ascii="宋体" w:hAnsi="宋体" w:cs="宋体"/>
              <w:sz w:val="24"/>
              <w:szCs w:val="24"/>
            </w:rPr>
            <w:t>（一）企业产品标准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_Toc2992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AD52DE2">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"_Toc28596" </w:instrText>
          </w:r>
          <w:r>
            <w:fldChar w:fldCharType="separate"/>
          </w:r>
          <w:r>
            <w:rPr>
              <w:rFonts w:hint="eastAsia" w:ascii="宋体" w:hAnsi="宋体" w:cs="宋体"/>
              <w:sz w:val="24"/>
              <w:szCs w:val="24"/>
            </w:rPr>
            <w:t>（二）企业计量水平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_Toc28596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95B5CFF">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"_Toc30097" </w:instrText>
          </w:r>
          <w:r>
            <w:fldChar w:fldCharType="separate"/>
          </w:r>
          <w:r>
            <w:rPr>
              <w:rFonts w:hint="eastAsia" w:ascii="宋体" w:hAnsi="宋体" w:cs="宋体"/>
              <w:sz w:val="24"/>
              <w:szCs w:val="24"/>
            </w:rPr>
            <w:t>（三）认证认可情况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_Toc30097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4A609C96">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"_Toc173" </w:instrText>
          </w:r>
          <w:r>
            <w:fldChar w:fldCharType="separate"/>
          </w:r>
          <w:r>
            <w:rPr>
              <w:rFonts w:hint="eastAsia" w:ascii="宋体" w:hAnsi="宋体" w:cs="宋体"/>
              <w:sz w:val="24"/>
              <w:szCs w:val="24"/>
            </w:rPr>
            <w:t>（四）质量检验情况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_Toc173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589843F9">
          <w:pPr>
            <w:pStyle w:val="20"/>
            <w:keepNext w:val="0"/>
            <w:keepLines w:val="0"/>
            <w:pageBreakBefore w:val="0"/>
            <w:tabs>
              <w:tab w:val="right" w:leader="dot" w:pos="8306"/>
            </w:tabs>
            <w:kinsoku/>
            <w:wordWrap/>
            <w:overflowPunct/>
            <w:topLinePunct w:val="0"/>
            <w:autoSpaceDE/>
            <w:autoSpaceDN/>
            <w:bidi w:val="0"/>
            <w:adjustRightInd/>
            <w:snapToGrid/>
            <w:spacing w:line="360" w:lineRule="auto"/>
            <w:ind w:left="420"/>
            <w:rPr>
              <w:rFonts w:ascii="宋体" w:hAnsi="宋体" w:cs="宋体"/>
              <w:sz w:val="24"/>
              <w:szCs w:val="24"/>
            </w:rPr>
          </w:pPr>
          <w:r>
            <w:fldChar w:fldCharType="begin"/>
          </w:r>
          <w:r>
            <w:instrText xml:space="preserve"> HYPERLINK \l "_Toc12786" </w:instrText>
          </w:r>
          <w:r>
            <w:fldChar w:fldCharType="separate"/>
          </w:r>
          <w:r>
            <w:rPr>
              <w:rFonts w:hint="eastAsia" w:ascii="宋体" w:hAnsi="宋体" w:cs="宋体"/>
              <w:sz w:val="24"/>
              <w:szCs w:val="24"/>
            </w:rPr>
            <w:t>五、产品质量责任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_Toc12786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5D6BE07">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"_Toc27721" </w:instrText>
          </w:r>
          <w:r>
            <w:fldChar w:fldCharType="separate"/>
          </w:r>
          <w:r>
            <w:rPr>
              <w:rFonts w:hint="eastAsia" w:ascii="宋体" w:hAnsi="宋体" w:cs="宋体"/>
              <w:sz w:val="24"/>
              <w:szCs w:val="24"/>
            </w:rPr>
            <w:t>（一）产品质量水平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_Toc27721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CEE17CA">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"_Toc16642" </w:instrText>
          </w:r>
          <w:r>
            <w:fldChar w:fldCharType="separate"/>
          </w:r>
          <w:r>
            <w:rPr>
              <w:rFonts w:hint="eastAsia" w:ascii="宋体" w:hAnsi="宋体" w:cs="宋体"/>
              <w:sz w:val="24"/>
              <w:szCs w:val="24"/>
            </w:rPr>
            <w:t>（二）产品售后责任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_Toc16642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0D2DA2D3">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"_Toc11532" </w:instrText>
          </w:r>
          <w:r>
            <w:fldChar w:fldCharType="separate"/>
          </w:r>
          <w:r>
            <w:rPr>
              <w:rFonts w:hint="eastAsia" w:ascii="宋体" w:hAnsi="宋体" w:cs="宋体"/>
              <w:sz w:val="24"/>
              <w:szCs w:val="24"/>
            </w:rPr>
            <w:t>（三）企业社会责任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_Toc11532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407A6FBE">
          <w:pPr>
            <w:pStyle w:val="21"/>
            <w:keepNext w:val="0"/>
            <w:keepLines w:val="0"/>
            <w:pageBreakBefore w:val="0"/>
            <w:tabs>
              <w:tab w:val="right" w:leader="dot" w:pos="8306"/>
            </w:tabs>
            <w:kinsoku/>
            <w:wordWrap/>
            <w:overflowPunct/>
            <w:topLinePunct w:val="0"/>
            <w:autoSpaceDE/>
            <w:autoSpaceDN/>
            <w:bidi w:val="0"/>
            <w:adjustRightInd/>
            <w:snapToGrid/>
            <w:spacing w:line="360" w:lineRule="auto"/>
            <w:ind w:left="840"/>
            <w:rPr>
              <w:rFonts w:ascii="宋体" w:hAnsi="宋体" w:cs="宋体"/>
              <w:sz w:val="24"/>
              <w:szCs w:val="24"/>
            </w:rPr>
          </w:pPr>
          <w:r>
            <w:fldChar w:fldCharType="begin"/>
          </w:r>
          <w:r>
            <w:instrText xml:space="preserve"> HYPERLINK \l "_Toc2562" </w:instrText>
          </w:r>
          <w:r>
            <w:fldChar w:fldCharType="separate"/>
          </w:r>
          <w:r>
            <w:rPr>
              <w:rFonts w:hint="eastAsia" w:ascii="宋体" w:hAnsi="宋体" w:cs="宋体"/>
              <w:sz w:val="24"/>
              <w:szCs w:val="24"/>
            </w:rPr>
            <w:t>（四）质量信用记录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_Toc2562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147CFD6E">
          <w:pPr>
            <w:pStyle w:val="19"/>
            <w:keepNext w:val="0"/>
            <w:keepLines w:val="0"/>
            <w:pageBreakBefore w:val="0"/>
            <w:tabs>
              <w:tab w:val="right" w:leader="dot" w:pos="8306"/>
            </w:tabs>
            <w:kinsoku/>
            <w:wordWrap/>
            <w:overflowPunct/>
            <w:topLinePunct w:val="0"/>
            <w:autoSpaceDE/>
            <w:autoSpaceDN/>
            <w:bidi w:val="0"/>
            <w:adjustRightInd/>
            <w:snapToGrid/>
            <w:spacing w:line="360" w:lineRule="auto"/>
            <w:rPr>
              <w:rFonts w:ascii="宋体" w:hAnsi="宋体" w:cs="宋体"/>
              <w:sz w:val="24"/>
              <w:szCs w:val="24"/>
            </w:rPr>
          </w:pPr>
          <w:r>
            <w:fldChar w:fldCharType="begin"/>
          </w:r>
          <w:r>
            <w:instrText xml:space="preserve"> HYPERLINK \l "_Toc12501" </w:instrText>
          </w:r>
          <w:r>
            <w:fldChar w:fldCharType="separate"/>
          </w:r>
          <w:r>
            <w:rPr>
              <w:rFonts w:hint="eastAsia" w:ascii="宋体" w:hAnsi="宋体" w:cs="宋体"/>
              <w:sz w:val="24"/>
              <w:szCs w:val="24"/>
            </w:rPr>
            <w:t>第三部分 报告结语</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_Toc12501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4974006D">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rPr>
              <w:rFonts w:ascii="宋体" w:hAnsi="宋体" w:cs="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rPr>
            <w:fldChar w:fldCharType="end"/>
          </w:r>
        </w:p>
      </w:sdtContent>
    </w:sdt>
    <w:p w14:paraId="69E956C5">
      <w:pPr>
        <w:keepNext w:val="0"/>
        <w:keepLines w:val="0"/>
        <w:pageBreakBefore w:val="0"/>
        <w:kinsoku/>
        <w:wordWrap/>
        <w:overflowPunct/>
        <w:topLinePunct w:val="0"/>
        <w:autoSpaceDE/>
        <w:autoSpaceDN/>
        <w:bidi w:val="0"/>
        <w:adjustRightInd/>
        <w:snapToGrid/>
        <w:spacing w:line="360" w:lineRule="auto"/>
        <w:jc w:val="center"/>
        <w:outlineLvl w:val="0"/>
        <w:rPr>
          <w:sz w:val="56"/>
          <w:szCs w:val="96"/>
        </w:rPr>
      </w:pPr>
      <w:bookmarkStart w:id="0" w:name="_Toc4125"/>
      <w:r>
        <w:rPr>
          <w:rFonts w:hint="eastAsia"/>
          <w:sz w:val="56"/>
          <w:szCs w:val="96"/>
        </w:rPr>
        <w:t>202</w:t>
      </w:r>
      <w:r>
        <w:rPr>
          <w:rFonts w:hint="eastAsia"/>
          <w:sz w:val="56"/>
          <w:szCs w:val="96"/>
          <w:lang w:val="en-US" w:eastAsia="zh-CN"/>
        </w:rPr>
        <w:t>3</w:t>
      </w:r>
      <w:r>
        <w:rPr>
          <w:rFonts w:hint="eastAsia"/>
          <w:sz w:val="56"/>
          <w:szCs w:val="96"/>
        </w:rPr>
        <w:t>年度企业质量诚信报告</w:t>
      </w:r>
      <w:bookmarkEnd w:id="0"/>
    </w:p>
    <w:p w14:paraId="521B7A66">
      <w:pPr>
        <w:keepNext w:val="0"/>
        <w:keepLines w:val="0"/>
        <w:pageBreakBefore w:val="0"/>
        <w:kinsoku/>
        <w:wordWrap/>
        <w:overflowPunct/>
        <w:topLinePunct w:val="0"/>
        <w:autoSpaceDE/>
        <w:autoSpaceDN/>
        <w:bidi w:val="0"/>
        <w:adjustRightInd/>
        <w:snapToGrid/>
        <w:spacing w:line="360" w:lineRule="auto"/>
        <w:jc w:val="center"/>
        <w:outlineLvl w:val="0"/>
        <w:rPr>
          <w:sz w:val="40"/>
          <w:szCs w:val="48"/>
        </w:rPr>
      </w:pPr>
      <w:bookmarkStart w:id="1" w:name="_Toc16377"/>
      <w:r>
        <w:rPr>
          <w:rFonts w:hint="eastAsia"/>
          <w:sz w:val="40"/>
          <w:szCs w:val="48"/>
        </w:rPr>
        <w:t>第一部分报告前言</w:t>
      </w:r>
      <w:bookmarkEnd w:id="1"/>
    </w:p>
    <w:p w14:paraId="191A750D">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2" w:name="_Toc23944"/>
      <w:r>
        <w:rPr>
          <w:rFonts w:hint="eastAsia" w:asciiTheme="minorEastAsia" w:hAnsiTheme="minorEastAsia" w:cstheme="minorEastAsia"/>
          <w:sz w:val="28"/>
          <w:szCs w:val="28"/>
        </w:rPr>
        <w:t>一、报告编制规范</w:t>
      </w:r>
      <w:bookmarkEnd w:id="2"/>
    </w:p>
    <w:p w14:paraId="0239F377">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本公司保证报告所公布的质量诚信体系建设情况不存在任何误导性陈述及虚假情况，并对其内容的客观性、真实性负责。</w:t>
      </w:r>
    </w:p>
    <w:p w14:paraId="06BDD0D2">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报告组织范围：火星人厨具股份有限公司</w:t>
      </w:r>
    </w:p>
    <w:p w14:paraId="23C61A3A">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报告发布时间：202</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月</w:t>
      </w:r>
    </w:p>
    <w:p w14:paraId="0672D13B">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报告发布周期：1 次/年</w:t>
      </w:r>
    </w:p>
    <w:p w14:paraId="34993335">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报告数据说明：报告内所涉及数据来源于公司，数据真实、有效。</w:t>
      </w:r>
    </w:p>
    <w:p w14:paraId="5A7C72BE">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报告获取方式：公司网站：https://www.marssenger.com</w:t>
      </w:r>
    </w:p>
    <w:p w14:paraId="00F55B5A">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3" w:name="_Toc10786"/>
      <w:r>
        <w:rPr>
          <w:rFonts w:hint="eastAsia" w:asciiTheme="minorEastAsia" w:hAnsiTheme="minorEastAsia" w:cstheme="minorEastAsia"/>
          <w:sz w:val="28"/>
          <w:szCs w:val="28"/>
        </w:rPr>
        <w:t>二、企业高层致辞</w:t>
      </w:r>
      <w:bookmarkEnd w:id="3"/>
    </w:p>
    <w:p w14:paraId="1203B564">
      <w:pPr>
        <w:pStyle w:val="11"/>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rPr>
          <w:rFonts w:ascii="宋体" w:hAnsi="宋体" w:eastAsia="宋体" w:cs="宋体"/>
          <w:color w:val="222222"/>
          <w:shd w:val="clear" w:color="auto" w:fill="FFFFFF"/>
        </w:rPr>
      </w:pPr>
      <w:r>
        <w:rPr>
          <w:rFonts w:hint="eastAsia" w:ascii="宋体" w:hAnsi="宋体" w:eastAsia="宋体" w:cs="宋体"/>
          <w:color w:val="222222"/>
          <w:shd w:val="clear" w:color="auto" w:fill="FFFFFF"/>
        </w:rPr>
        <w:t>火星人集成灶从无名小企到上市公司，从无人知到天下闻，火星人集成灶用短短十</w:t>
      </w:r>
      <w:r>
        <w:rPr>
          <w:rFonts w:hint="eastAsia" w:ascii="宋体" w:hAnsi="宋体" w:eastAsia="宋体" w:cs="宋体"/>
          <w:color w:val="222222"/>
          <w:shd w:val="clear" w:color="auto" w:fill="FFFFFF"/>
          <w:lang w:val="en-US" w:eastAsia="zh-CN"/>
        </w:rPr>
        <w:t>四</w:t>
      </w:r>
      <w:r>
        <w:rPr>
          <w:rFonts w:hint="eastAsia" w:ascii="宋体" w:hAnsi="宋体" w:eastAsia="宋体" w:cs="宋体"/>
          <w:color w:val="222222"/>
          <w:shd w:val="clear" w:color="auto" w:fill="FFFFFF"/>
        </w:rPr>
        <w:t>年的时间创造了一个发展奇迹。</w:t>
      </w:r>
    </w:p>
    <w:p w14:paraId="799C0E0E">
      <w:pPr>
        <w:pStyle w:val="11"/>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rPr>
          <w:rFonts w:ascii="宋体" w:hAnsi="宋体" w:eastAsia="宋体" w:cs="宋体"/>
          <w:color w:val="222222"/>
          <w:shd w:val="clear" w:color="auto" w:fill="FFFFFF"/>
        </w:rPr>
      </w:pPr>
      <w:r>
        <w:rPr>
          <w:rFonts w:hint="eastAsia" w:ascii="宋体" w:hAnsi="宋体" w:eastAsia="宋体" w:cs="宋体"/>
          <w:color w:val="222222"/>
          <w:shd w:val="clear" w:color="auto" w:fill="FFFFFF"/>
        </w:rPr>
        <w:t>十</w:t>
      </w:r>
      <w:r>
        <w:rPr>
          <w:rFonts w:hint="eastAsia" w:ascii="宋体" w:hAnsi="宋体" w:eastAsia="宋体" w:cs="宋体"/>
          <w:color w:val="222222"/>
          <w:shd w:val="clear" w:color="auto" w:fill="FFFFFF"/>
          <w:lang w:val="en-US" w:eastAsia="zh-CN"/>
        </w:rPr>
        <w:t>四</w:t>
      </w:r>
      <w:r>
        <w:rPr>
          <w:rFonts w:hint="eastAsia" w:ascii="宋体" w:hAnsi="宋体" w:eastAsia="宋体" w:cs="宋体"/>
          <w:color w:val="222222"/>
          <w:shd w:val="clear" w:color="auto" w:fill="FFFFFF"/>
        </w:rPr>
        <w:t>年来，科技发展日新月异，而火星人集成灶却始终紧握时代脉络，引领集成灶行业的发展。火星人</w:t>
      </w:r>
      <w:r>
        <w:rPr>
          <w:rFonts w:ascii="Arial" w:hAnsi="Arial" w:eastAsia="宋体" w:cs="Arial"/>
          <w:color w:val="222222"/>
          <w:shd w:val="clear" w:color="auto" w:fill="FFFFFF"/>
        </w:rPr>
        <w:t>将通过产品创新升级，不断优化多元用户体验。在保持产品超强吸油烟、蒸烤功能等核心性能的基础上，加强智能化操作、安全保护升级等产品技术突破。目前我们的集成灶产品已实现</w:t>
      </w:r>
      <w:r>
        <w:rPr>
          <w:rFonts w:hint="eastAsia" w:ascii="Arial" w:hAnsi="Arial" w:eastAsia="宋体" w:cs="Arial"/>
          <w:color w:val="222222"/>
          <w:shd w:val="clear" w:color="auto" w:fill="FFFFFF"/>
          <w:lang w:val="en-US" w:eastAsia="zh-CN"/>
        </w:rPr>
        <w:t>风随烟动，</w:t>
      </w:r>
      <w:r>
        <w:rPr>
          <w:rFonts w:ascii="宋体" w:hAnsi="宋体" w:eastAsia="宋体" w:cs="宋体"/>
          <w:sz w:val="24"/>
          <w:szCs w:val="24"/>
        </w:rPr>
        <w:t>辅助控温</w:t>
      </w:r>
      <w:r>
        <w:rPr>
          <w:rFonts w:hint="eastAsia" w:ascii="宋体" w:hAnsi="宋体" w:eastAsia="宋体" w:cs="宋体"/>
          <w:sz w:val="24"/>
          <w:szCs w:val="24"/>
          <w:lang w:eastAsia="zh-CN"/>
        </w:rPr>
        <w:t>，</w:t>
      </w:r>
      <w:r>
        <w:rPr>
          <w:rFonts w:ascii="宋体" w:hAnsi="宋体" w:eastAsia="宋体" w:cs="宋体"/>
          <w:sz w:val="24"/>
          <w:szCs w:val="24"/>
        </w:rPr>
        <w:t>燃烧器宽幅匀火（内外环同大同小）</w:t>
      </w:r>
      <w:r>
        <w:rPr>
          <w:rFonts w:ascii="Arial" w:hAnsi="Arial" w:eastAsia="宋体" w:cs="Arial"/>
          <w:color w:val="auto"/>
          <w:shd w:val="clear" w:color="auto" w:fill="FFFFFF"/>
        </w:rPr>
        <w:t>等功能，</w:t>
      </w:r>
      <w:r>
        <w:rPr>
          <w:rFonts w:ascii="Arial" w:hAnsi="Arial" w:eastAsia="宋体" w:cs="Arial"/>
          <w:color w:val="222222"/>
          <w:shd w:val="clear" w:color="auto" w:fill="FFFFFF"/>
        </w:rPr>
        <w:t>未来将在这方面继续加强技术突破，满足现代年轻用户群体的个性化需求，带给用户更好的厨房体验。</w:t>
      </w:r>
    </w:p>
    <w:p w14:paraId="0C40B73D">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无论是集成灶还是集成洗碗机，其核心出发点依旧是“适合中国人”，火星人集成灶作为当下的新兴厨电代表，以无畏的勇气在中国智造、中国创造的道路上飞驰，火星人集成灶将继续以这种姿态向前奔跑，做出更亮眼的成绩。</w:t>
      </w:r>
    </w:p>
    <w:p w14:paraId="2AA4644A">
      <w:pPr>
        <w:pStyle w:val="2"/>
        <w:keepNext w:val="0"/>
        <w:keepLines w:val="0"/>
        <w:pageBreakBefore w:val="0"/>
        <w:kinsoku/>
        <w:wordWrap/>
        <w:overflowPunct/>
        <w:topLinePunct w:val="0"/>
        <w:autoSpaceDE/>
        <w:autoSpaceDN/>
        <w:bidi w:val="0"/>
        <w:adjustRightInd/>
        <w:snapToGrid/>
        <w:spacing w:line="360" w:lineRule="auto"/>
        <w:rPr>
          <w:rFonts w:ascii="宋体" w:hAnsi="宋体" w:cs="宋体"/>
          <w:color w:val="222222"/>
          <w:sz w:val="24"/>
          <w:shd w:val="clear" w:color="auto" w:fill="FFFFFF"/>
        </w:rPr>
      </w:pPr>
    </w:p>
    <w:p w14:paraId="134D70F7">
      <w:pPr>
        <w:pStyle w:val="2"/>
        <w:keepNext w:val="0"/>
        <w:keepLines w:val="0"/>
        <w:pageBreakBefore w:val="0"/>
        <w:kinsoku/>
        <w:wordWrap/>
        <w:overflowPunct/>
        <w:topLinePunct w:val="0"/>
        <w:autoSpaceDE/>
        <w:autoSpaceDN/>
        <w:bidi w:val="0"/>
        <w:adjustRightInd/>
        <w:snapToGrid/>
        <w:spacing w:line="360" w:lineRule="auto"/>
        <w:rPr>
          <w:rFonts w:ascii="宋体" w:hAnsi="宋体" w:cs="宋体"/>
          <w:color w:val="222222"/>
          <w:sz w:val="24"/>
          <w:shd w:val="clear" w:color="auto" w:fill="FFFFFF"/>
        </w:rPr>
      </w:pPr>
    </w:p>
    <w:p w14:paraId="2983D660">
      <w:pPr>
        <w:pStyle w:val="2"/>
        <w:keepNext w:val="0"/>
        <w:keepLines w:val="0"/>
        <w:pageBreakBefore w:val="0"/>
        <w:kinsoku/>
        <w:wordWrap/>
        <w:overflowPunct/>
        <w:topLinePunct w:val="0"/>
        <w:autoSpaceDE/>
        <w:autoSpaceDN/>
        <w:bidi w:val="0"/>
        <w:adjustRightInd/>
        <w:snapToGrid/>
        <w:spacing w:line="360" w:lineRule="auto"/>
        <w:rPr>
          <w:rFonts w:ascii="宋体" w:hAnsi="宋体" w:cs="宋体"/>
          <w:color w:val="222222"/>
          <w:sz w:val="24"/>
          <w:shd w:val="clear" w:color="auto" w:fill="FFFFFF"/>
        </w:rPr>
      </w:pPr>
    </w:p>
    <w:p w14:paraId="13AEEE5E">
      <w:pPr>
        <w:pStyle w:val="2"/>
        <w:keepNext w:val="0"/>
        <w:keepLines w:val="0"/>
        <w:pageBreakBefore w:val="0"/>
        <w:kinsoku/>
        <w:wordWrap/>
        <w:overflowPunct/>
        <w:topLinePunct w:val="0"/>
        <w:autoSpaceDE/>
        <w:autoSpaceDN/>
        <w:bidi w:val="0"/>
        <w:adjustRightInd/>
        <w:snapToGrid/>
        <w:spacing w:line="360" w:lineRule="auto"/>
        <w:rPr>
          <w:rFonts w:ascii="宋体" w:hAnsi="宋体" w:cs="宋体"/>
          <w:color w:val="222222"/>
          <w:sz w:val="24"/>
          <w:shd w:val="clear" w:color="auto" w:fill="FFFFFF"/>
        </w:rPr>
      </w:pPr>
    </w:p>
    <w:p w14:paraId="2E3DC954">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8"/>
          <w:szCs w:val="28"/>
        </w:rPr>
      </w:pPr>
    </w:p>
    <w:p w14:paraId="4E049B24">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4" w:name="_Toc3700"/>
      <w:r>
        <w:rPr>
          <w:rFonts w:hint="eastAsia" w:asciiTheme="minorEastAsia" w:hAnsiTheme="minorEastAsia" w:cstheme="minorEastAsia"/>
          <w:sz w:val="28"/>
          <w:szCs w:val="28"/>
        </w:rPr>
        <w:t>三、企业简介</w:t>
      </w:r>
      <w:bookmarkEnd w:id="4"/>
    </w:p>
    <w:p w14:paraId="19587D7B">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火星人厨具股份有限公司是一家以高端集成厨电为核心业务，“让厨房生活更健康”为使命而进行产品研发和生产的高新技术企业，现打造集成灶、集成洗碗机、水槽洗碗机、集成水槽、热水器、集成家居等精良产品。</w:t>
      </w:r>
    </w:p>
    <w:p w14:paraId="079EAFAD">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2010年，火星人以“彻底解决厨房油烟问题”的朴素初心而创立，在14年的发展里，始终专精自主研发创新，让“炒100个辣椒都不怕”的承诺成为现实，打造净吸无烟开放式厨房。当厨房空间得以打开，将联动生活中的所有美妙情景，激发更多情感的交流。紧紧围绕每个人对更美好品质生活的期待，火星人让梦想照亮现实，打造美好未来家。未来家，从火星人集成灶开始。</w:t>
      </w:r>
    </w:p>
    <w:p w14:paraId="0748B6FA">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火星人坚持高端品牌引领，发展迅速上升。2020年12月31日，成立十年的火星人成功于深交所上市，上市仅半年，就跃居行业上市公司营收第一，并保持至今，火星人实现集成灶行业2021-2023年连续三年全国销售额第一*。</w:t>
      </w:r>
    </w:p>
    <w:p w14:paraId="592038A1">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火星人坚守高端定位，遵循“独特、领先、高端、美学、智感”的研发方针，只选择业内顶级机构或个人合作，与宝马旗下设计团队Design Works、洛可可集团、日本田中浩昭等知名设计公司和设计师合作研发新品，像构思艺术品一样设计每款产品。联合中美日的顶尖设计力量，产品累计斩获德国iF金奖、红点奖等30多项国内外设计大奖。</w:t>
      </w:r>
    </w:p>
    <w:p w14:paraId="1C6FDB97">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火星人注重科技研发和技术创新，建造7000㎡研发和工匠双实验室，获CNAS国家实验室认证。2023年，公司新产品上市及产品性能升级共计100 多款，拥有行业领先的 300 多人的研发团队，研发投入1亿多元，居集成灶行业上市公司第一*。截至2023年12月，累计获585项国家授权有效专利，专利数量集成灶行业上市公司第一*。火星人在健康科技、集成科技、美学科技、智感科技上持续突破迭代，引领行业的全维创新。凭借过硬的科技研发和技术创新实力，火星人荣获国家高新技术企业、国家工业设计中心、国家知识产权示范企业、全国厨电行业质量领军企业、浙江制造“品”字标、浙江省未来工厂、省级智能工厂、省级企业研究院、省级工业互联网平台等多项国家及省级权威资质认证。</w:t>
      </w:r>
    </w:p>
    <w:p w14:paraId="3CBB9CA5">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火星人积极参与标准制定，已参与《集成灶》《洗碗机》《服务维修》等国家、行业及团体20项标准起草。2022年，中国标准化协会召开的我国首个集成洗碗机行业《家用和类似用途集成洗碗机》团体标准正式发布，火星人作为大容量集成洗碗机发明者*，以第一起草单位，对集成洗碗机的技术标准进行明确的规范。2023年，由火星人牵头的《个性化膳食数字化设计与智能制造关键技术研究与产业化示范》项目研究，正式获得批准立项，成功入选国家“十四五”重点研发计划。火星人成为“十四五”国家重点研发项目牵头单位，这不仅是对火星人长期以来在科技创新方面的追求与投入的肯定，更是对火星人在推动厨房健康领域持续深化的认可。</w:t>
      </w:r>
    </w:p>
    <w:p w14:paraId="740708A3">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产品够硬气，服务有底气。服务方面，火星人实行365无忧退换修服务2.0升级，即因产品质量问题导致吸油烟效果不理想，365天无忧退换修。秉承“极速响应，一次就好”的理念，火星人发布快速修服务承诺，保证12小时快速修，4小时极速修，2小时闪速修。火星人已获服务口碑、服务品牌、售后服务三项五星级服务认证。</w:t>
      </w:r>
    </w:p>
    <w:p w14:paraId="4C424C94">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渠道方面，火星人线下经销专卖店已发展2100多家，入驻了天猫、京东、抖音、快手等电商平台，线上连续多年集成灶销售领先，并积极布局工程渠道、家装渠道、KA 渠道、下沉渠道等渠道，打造集成灶行业领先的终端销售体系。</w:t>
      </w:r>
    </w:p>
    <w:p w14:paraId="09E80B5B">
      <w:pPr>
        <w:spacing w:line="360" w:lineRule="auto"/>
        <w:ind w:firstLine="480" w:firstLineChars="200"/>
        <w:rPr>
          <w:rFonts w:hint="eastAsia" w:ascii="宋体" w:hAnsi="宋体" w:eastAsia="宋体" w:cs="宋体"/>
          <w:color w:val="222222"/>
          <w:kern w:val="0"/>
          <w:sz w:val="24"/>
          <w:szCs w:val="24"/>
          <w:shd w:val="clear" w:color="auto" w:fill="FFFFFF"/>
          <w:lang w:val="en-US" w:eastAsia="zh-CN" w:bidi="ar-SA"/>
        </w:rPr>
      </w:pPr>
      <w:r>
        <w:rPr>
          <w:rFonts w:hint="eastAsia" w:ascii="宋体" w:hAnsi="宋体" w:eastAsia="宋体" w:cs="宋体"/>
          <w:color w:val="222222"/>
          <w:kern w:val="0"/>
          <w:sz w:val="24"/>
          <w:szCs w:val="24"/>
          <w:shd w:val="clear" w:color="auto" w:fill="FFFFFF"/>
          <w:lang w:val="en-US" w:eastAsia="zh-CN" w:bidi="ar-SA"/>
        </w:rPr>
        <w:t>公司在发展过程中，逐步形成了以“德治、德行、德艺”为核心的三德文化体系，同时，公司积极投身慈善公益事业，践行企业社会责任。公司本着“用户至上”原则，从用户需求出发，让优质的用户体验贯穿于产品或服务的每一个细节。现在，火星人以“持续创新，行业领先”的企业总方针，正朝着“成为让人自豪的卓越企业”的愿景不断前进。</w:t>
      </w:r>
    </w:p>
    <w:p w14:paraId="3BF3B62F">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华康UD黑 Std W4" w:hAnsi="华康UD黑 Std W4" w:eastAsia="华康UD黑 Std W4" w:cs="华康UD黑 Std W4"/>
          <w:color w:val="auto"/>
          <w:kern w:val="2"/>
          <w:sz w:val="18"/>
          <w:szCs w:val="20"/>
          <w:highlight w:val="none"/>
          <w:lang w:val="en-US" w:eastAsia="zh-CN" w:bidi="ar-SA"/>
        </w:rPr>
      </w:pPr>
      <w:r>
        <w:rPr>
          <w:rFonts w:hint="eastAsia" w:ascii="华康UD黑 Std W4" w:hAnsi="华康UD黑 Std W4" w:eastAsia="华康UD黑 Std W4" w:cs="华康UD黑 Std W4"/>
          <w:color w:val="auto"/>
          <w:kern w:val="2"/>
          <w:sz w:val="18"/>
          <w:szCs w:val="20"/>
          <w:highlight w:val="none"/>
          <w:lang w:val="en-US" w:eastAsia="zh-CN" w:bidi="ar-SA"/>
        </w:rPr>
        <w:t>（*来源：弗若斯特沙利文，基于对中国集成灶市场的研究，按2021-2023年集成灶销售额口径计；于2024年5月完成调研。</w:t>
      </w:r>
    </w:p>
    <w:p w14:paraId="25F31DC6">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华康UD黑 Std W4" w:hAnsi="华康UD黑 Std W4" w:eastAsia="华康UD黑 Std W4" w:cs="华康UD黑 Std W4"/>
          <w:color w:val="auto"/>
          <w:kern w:val="2"/>
          <w:sz w:val="18"/>
          <w:szCs w:val="20"/>
          <w:highlight w:val="none"/>
          <w:lang w:val="en-US" w:eastAsia="zh-CN" w:bidi="ar-SA"/>
        </w:rPr>
        <w:t>*中国发明专利，专利号：ZL202110232723.4</w:t>
      </w:r>
      <w:r>
        <w:rPr>
          <w:rFonts w:hint="eastAsia" w:ascii="华康UD黑 Std W4" w:hAnsi="华康UD黑 Std W4" w:eastAsia="华康UD黑 Std W4" w:cs="华康UD黑 Std W4"/>
          <w:color w:val="auto"/>
          <w:kern w:val="2"/>
          <w:sz w:val="18"/>
          <w:szCs w:val="20"/>
          <w:highlight w:val="none"/>
          <w:lang w:val="en-US" w:eastAsia="zh-CN" w:bidi="ar-SA"/>
        </w:rPr>
        <w:br w:type="textWrapping"/>
      </w:r>
      <w:r>
        <w:rPr>
          <w:rFonts w:hint="eastAsia" w:ascii="华康UD黑 Std W4" w:hAnsi="华康UD黑 Std W4" w:eastAsia="华康UD黑 Std W4" w:cs="华康UD黑 Std W4"/>
          <w:color w:val="auto"/>
          <w:kern w:val="2"/>
          <w:sz w:val="18"/>
          <w:szCs w:val="20"/>
          <w:highlight w:val="none"/>
          <w:lang w:val="en-US" w:eastAsia="zh-CN" w:bidi="ar-SA"/>
        </w:rPr>
        <w:t>*研发投入和专利数量来源：2023年集成灶行业上市公司年度审计报告。）</w:t>
      </w:r>
    </w:p>
    <w:p w14:paraId="2B128788">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2251ED23">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58E20039">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359853BD">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44D608AE">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59B273BE">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p>
    <w:p w14:paraId="64B2B429">
      <w:pPr>
        <w:keepNext w:val="0"/>
        <w:keepLines w:val="0"/>
        <w:pageBreakBefore w:val="0"/>
        <w:kinsoku/>
        <w:wordWrap/>
        <w:overflowPunct/>
        <w:topLinePunct w:val="0"/>
        <w:autoSpaceDE/>
        <w:autoSpaceDN/>
        <w:bidi w:val="0"/>
        <w:adjustRightInd/>
        <w:snapToGrid/>
        <w:spacing w:line="360" w:lineRule="auto"/>
        <w:jc w:val="center"/>
        <w:outlineLvl w:val="0"/>
        <w:rPr>
          <w:rFonts w:asciiTheme="minorEastAsia" w:hAnsiTheme="minorEastAsia" w:cstheme="minorEastAsia"/>
          <w:sz w:val="36"/>
          <w:szCs w:val="36"/>
        </w:rPr>
      </w:pPr>
      <w:bookmarkStart w:id="5" w:name="_Toc18478"/>
      <w:bookmarkStart w:id="6" w:name="_Toc5457"/>
      <w:r>
        <w:rPr>
          <w:rFonts w:hint="eastAsia" w:asciiTheme="minorEastAsia" w:hAnsiTheme="minorEastAsia" w:cstheme="minorEastAsia"/>
          <w:sz w:val="36"/>
          <w:szCs w:val="36"/>
        </w:rPr>
        <w:t>第二部分 报告正文</w:t>
      </w:r>
      <w:bookmarkEnd w:id="5"/>
      <w:bookmarkEnd w:id="6"/>
    </w:p>
    <w:p w14:paraId="54969EE2">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7" w:name="_Toc11844"/>
      <w:bookmarkStart w:id="8" w:name="_Toc28336"/>
      <w:r>
        <w:rPr>
          <w:rFonts w:hint="eastAsia" w:asciiTheme="minorEastAsia" w:hAnsiTheme="minorEastAsia" w:cstheme="minorEastAsia"/>
          <w:sz w:val="28"/>
          <w:szCs w:val="28"/>
        </w:rPr>
        <w:t>一、企业质量理念</w:t>
      </w:r>
      <w:bookmarkEnd w:id="7"/>
      <w:bookmarkEnd w:id="8"/>
    </w:p>
    <w:p w14:paraId="62F5E34D">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始终将品质作为企业的立业之本。为此，火星人建立了严格的质量保证体系，严格按照《产品质量法》、《强制性产品认证管理规定》等法规及国家强制性标准的要求生产、销售产品。同时制订了以《质量环境职业健康安全管理手册》为总纲的涵盖设计与开发、采购、生产、销售、售后服务全过程的质量管理文件，确保为顾客提供安全、健康、舒适的产品。</w:t>
      </w:r>
    </w:p>
    <w:p w14:paraId="5265ABD1">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9" w:name="_Toc13548"/>
      <w:bookmarkStart w:id="10" w:name="_Toc15459"/>
      <w:r>
        <w:rPr>
          <w:rFonts w:hint="eastAsia" w:asciiTheme="minorEastAsia" w:hAnsiTheme="minorEastAsia" w:cstheme="minorEastAsia"/>
          <w:sz w:val="28"/>
          <w:szCs w:val="28"/>
        </w:rPr>
        <w:t>二、企业质量管理</w:t>
      </w:r>
      <w:bookmarkEnd w:id="9"/>
      <w:bookmarkEnd w:id="10"/>
    </w:p>
    <w:p w14:paraId="1699DAB6">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11" w:name="_Toc3048"/>
      <w:bookmarkStart w:id="12" w:name="_Toc6854"/>
      <w:r>
        <w:rPr>
          <w:rFonts w:hint="eastAsia" w:asciiTheme="minorEastAsia" w:hAnsiTheme="minorEastAsia" w:cstheme="minorEastAsia"/>
          <w:sz w:val="24"/>
        </w:rPr>
        <w:t>（一）质量管理机构</w:t>
      </w:r>
      <w:bookmarkEnd w:id="11"/>
      <w:bookmarkEnd w:id="12"/>
    </w:p>
    <w:p w14:paraId="3967E032">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火星人依据精简高效的原则，公司</w:t>
      </w:r>
      <w:r>
        <w:rPr>
          <w:rFonts w:hint="eastAsia" w:asciiTheme="minorEastAsia" w:hAnsiTheme="minorEastAsia" w:cstheme="minorEastAsia"/>
          <w:sz w:val="24"/>
          <w:lang w:val="en-US" w:eastAsia="zh-CN"/>
        </w:rPr>
        <w:t>总经办</w:t>
      </w:r>
      <w:r>
        <w:rPr>
          <w:rFonts w:hint="eastAsia" w:asciiTheme="minorEastAsia" w:hAnsiTheme="minorEastAsia" w:cstheme="minorEastAsia"/>
          <w:sz w:val="24"/>
        </w:rPr>
        <w:t>定期发布最新组织机构图，人力资源</w:t>
      </w:r>
      <w:r>
        <w:rPr>
          <w:rFonts w:hint="eastAsia" w:asciiTheme="minorEastAsia" w:hAnsiTheme="minorEastAsia" w:cstheme="minorEastAsia"/>
          <w:sz w:val="24"/>
          <w:lang w:val="en-US" w:eastAsia="zh-CN"/>
        </w:rPr>
        <w:t>部</w:t>
      </w:r>
      <w:r>
        <w:rPr>
          <w:rFonts w:hint="eastAsia" w:asciiTheme="minorEastAsia" w:hAnsiTheme="minorEastAsia" w:cstheme="minorEastAsia"/>
          <w:sz w:val="24"/>
        </w:rPr>
        <w:t>及时确定各岗位的工作职责。对公司的决策层、各工作岗位建立了详细的工作标准，制定了各部门职能说明书。各部门各司其职、相互沟通配合，营销、研发、采购、检验、仓储、生产等运作流程脉络清晰、流畅。</w:t>
      </w:r>
    </w:p>
    <w:p w14:paraId="23546765">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13" w:name="_Toc17676"/>
      <w:bookmarkStart w:id="14" w:name="_Toc27218"/>
      <w:r>
        <w:rPr>
          <w:rFonts w:hint="eastAsia" w:asciiTheme="minorEastAsia" w:hAnsiTheme="minorEastAsia" w:cstheme="minorEastAsia"/>
          <w:sz w:val="24"/>
        </w:rPr>
        <w:t>（二）质量管理体系</w:t>
      </w:r>
      <w:bookmarkEnd w:id="13"/>
      <w:bookmarkEnd w:id="14"/>
    </w:p>
    <w:p w14:paraId="2D2AC327">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火星人自引入 ISO9001 质量管理体系，以“习三德文化、争行业标准、制核心技术、铸火星品质”为质量方针，持续整合各相关体系，建立适应本公司实际的质量管理、</w:t>
      </w:r>
      <w:r>
        <w:rPr>
          <w:rFonts w:hint="eastAsia" w:asciiTheme="minorEastAsia" w:hAnsiTheme="minorEastAsia" w:cstheme="minorEastAsia"/>
          <w:sz w:val="24"/>
          <w:lang w:val="en-US" w:eastAsia="zh-CN"/>
        </w:rPr>
        <w:t>环境管理</w:t>
      </w:r>
      <w:r>
        <w:rPr>
          <w:rFonts w:hint="eastAsia" w:asciiTheme="minorEastAsia" w:hAnsiTheme="minorEastAsia" w:cstheme="minorEastAsia"/>
          <w:sz w:val="24"/>
        </w:rPr>
        <w:t>、职业健康</w:t>
      </w:r>
      <w:r>
        <w:rPr>
          <w:rFonts w:hint="eastAsia" w:asciiTheme="minorEastAsia" w:hAnsiTheme="minorEastAsia" w:cstheme="minorEastAsia"/>
          <w:sz w:val="24"/>
          <w:lang w:val="en-US" w:eastAsia="zh-CN"/>
        </w:rPr>
        <w:t>安全</w:t>
      </w:r>
      <w:r>
        <w:rPr>
          <w:rFonts w:hint="eastAsia" w:asciiTheme="minorEastAsia" w:hAnsiTheme="minorEastAsia" w:cstheme="minorEastAsia"/>
          <w:sz w:val="24"/>
        </w:rPr>
        <w:t>等管理体系，扎实有效地落实了管理工作中的各项责任、各项目标，确保体系有效运行，推进公司可持续发展。</w:t>
      </w:r>
    </w:p>
    <w:p w14:paraId="40C61E4C">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建立了《内部审核控制程序》并根据内部审核需要培养了充足的内审员。为确保体系运行的有效性和持续改进，根据体系审核规定，公司定期对产品一致性和符合法律法规情况进行抽样检查，每年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14:paraId="2E90D4B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公司制定了《不合格品控制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才能进入下工序。对于所有出现的显性或隐性质量问题及不合格，品质部门均有详细数据记录，并由专人进行统计分析后，由责任部门依据《数据分析和纠正改进控制程序》制定纠正预防并进行整改，评估纠正预防措施有效之后方能关闭问题项，产品数据和部分产品的关键部件数据均可追溯。</w:t>
      </w:r>
    </w:p>
    <w:p w14:paraId="6B89B7D7">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综上所述，火星人的质量管理体系强调系统优化、过程方法、质量工具应用的常规化和日常化，在各系统、各过程充分应用 PDCA 循环，持续改善、追求卓越。</w:t>
      </w:r>
    </w:p>
    <w:p w14:paraId="74DCBA86">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15" w:name="_Toc8842"/>
      <w:bookmarkStart w:id="16" w:name="_Toc14339"/>
      <w:r>
        <w:rPr>
          <w:rFonts w:hint="eastAsia" w:asciiTheme="minorEastAsia" w:hAnsiTheme="minorEastAsia" w:cstheme="minorEastAsia"/>
          <w:sz w:val="24"/>
        </w:rPr>
        <w:t>（三）质量风险管理</w:t>
      </w:r>
      <w:bookmarkEnd w:id="15"/>
      <w:bookmarkEnd w:id="16"/>
    </w:p>
    <w:p w14:paraId="4BA08426">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为保证不断提高产品质量，提升公司质量服务水平，在公司质量管理体系的程序文件中明确了顾客对产品的要求、评审及服务，通过官方网站、展销会、产品巡展、电子化的客户投诉、免费 24 小时热线电话以及客户访问等方式，收集客户投诉或者潜在抱怨信息，通过市场调研、竞品分析，收集顾客对产品与服务期望，主动进行预防来减少顾客投诉。</w:t>
      </w:r>
    </w:p>
    <w:p w14:paraId="4CCCDF21">
      <w:pPr>
        <w:keepNext w:val="0"/>
        <w:keepLines w:val="0"/>
        <w:pageBreakBefore w:val="0"/>
        <w:kinsoku/>
        <w:wordWrap/>
        <w:overflowPunct/>
        <w:topLinePunct w:val="0"/>
        <w:autoSpaceDE/>
        <w:autoSpaceDN/>
        <w:bidi w:val="0"/>
        <w:adjustRightInd/>
        <w:snapToGrid/>
        <w:spacing w:line="360" w:lineRule="auto"/>
        <w:ind w:firstLine="480"/>
        <w:rPr>
          <w:rFonts w:asciiTheme="minorEastAsia" w:hAnsiTheme="minorEastAsia" w:cstheme="minorEastAsia"/>
          <w:sz w:val="24"/>
          <w:highlight w:val="red"/>
        </w:rPr>
      </w:pPr>
      <w:r>
        <w:rPr>
          <w:rFonts w:hint="eastAsia" w:ascii="宋体" w:hAnsi="宋体" w:cs="宋体"/>
          <w:sz w:val="24"/>
        </w:rPr>
        <w:t>公司以“成为让人自豪的卓越企业”的愿景为基础，明确了发展方向和绩效期望，以科学的、平衡的发展观确保了战略的前瞻性。为了确保战略能够指导公司的发展，使之具有全面性、长远性和竞争性，同时又要具有创新性、稳定性，特别是在遇到危机状况下要有抗风险及紧急应变能力。公司经营管理层在董事会及董事会战略与发展委员会的指导下，并广泛吸纳专业咨询机构的建议，并通过战略预备会、战略研讨会，制定了公司中长期战略规划和目标，并据此确定了公司年度经营目标，及职能部门关键绩效指标。</w:t>
      </w:r>
    </w:p>
    <w:p w14:paraId="742C1635">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公司通过展览会、行业会议、行业标委会、公共媒体、互联网、外部机构等渠道，以市场走访、面对面或电话访谈、观察查询等方法，了解客户的需求和期望。</w:t>
      </w:r>
    </w:p>
    <w:p w14:paraId="247ADE45">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各部门定期搜集第三方用户报告，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14:paraId="10B42CC9">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根据顾客需求和期望的变化，对产品规划、开发设计、过程改进等改进指导如下：</w:t>
      </w:r>
    </w:p>
    <w:p w14:paraId="0927A0E6">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1）将顾客需求和期望变化用于产品规划。</w:t>
      </w:r>
    </w:p>
    <w:p w14:paraId="39F73445">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2）将顾客需求和期望变化用于产品改进设计。</w:t>
      </w:r>
    </w:p>
    <w:p w14:paraId="2DF8FCB1">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公司通过火粉APP、微信等网络方式，制作产品保养知识和顾客互动，收集顾客需求。</w:t>
      </w:r>
    </w:p>
    <w:p w14:paraId="33EC921B">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通过市场走访收集顾客满意度情况，及时提供相应服务。</w:t>
      </w:r>
    </w:p>
    <w:p w14:paraId="5082787C">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针对关键顾客，利用信息化手段，和公司信息化系统对接，及时将顾客销售情况、新品信息等，传递公司主管部门。每月度信息沟通，变更为每日数据对接。更快速了解关键顾客需求，适应市场变化。</w:t>
      </w:r>
    </w:p>
    <w:p w14:paraId="7BEC1D7D">
      <w:pPr>
        <w:keepNext w:val="0"/>
        <w:keepLines w:val="0"/>
        <w:pageBreakBefore w:val="0"/>
        <w:kinsoku/>
        <w:wordWrap/>
        <w:overflowPunct/>
        <w:topLinePunct w:val="0"/>
        <w:autoSpaceDE/>
        <w:autoSpaceDN/>
        <w:bidi w:val="0"/>
        <w:adjustRightInd/>
        <w:snapToGrid/>
        <w:spacing w:line="360" w:lineRule="auto"/>
        <w:ind w:firstLine="480"/>
        <w:rPr>
          <w:rFonts w:asciiTheme="minorEastAsia" w:hAnsiTheme="minorEastAsia" w:cstheme="minorEastAsia"/>
          <w:sz w:val="24"/>
        </w:rPr>
      </w:pPr>
      <w:r>
        <w:rPr>
          <w:rFonts w:hint="eastAsia" w:asciiTheme="minorEastAsia" w:hAnsiTheme="minorEastAsia" w:cstheme="minorEastAsia"/>
          <w:sz w:val="24"/>
        </w:rPr>
        <w:t>火星人推行12小时极速服务，无论哪里，只要发出维修需求，都会力争在12小时内解决问题，获得商品售后服务体系五星级认证。极致产品和完美服务造就完美口碑。正是由于火星人集成灶在市场上的卓越的表现，赢得</w:t>
      </w:r>
      <w:r>
        <w:rPr>
          <w:rFonts w:hint="eastAsia" w:asciiTheme="minorEastAsia" w:hAnsiTheme="minorEastAsia" w:cstheme="minorEastAsia"/>
          <w:sz w:val="24"/>
          <w:lang w:val="en-US" w:eastAsia="zh-CN"/>
        </w:rPr>
        <w:t>了</w:t>
      </w:r>
      <w:r>
        <w:rPr>
          <w:rFonts w:hint="eastAsia" w:asciiTheme="minorEastAsia" w:hAnsiTheme="minorEastAsia" w:cstheme="minorEastAsia"/>
          <w:sz w:val="24"/>
        </w:rPr>
        <w:t>市场</w:t>
      </w:r>
      <w:r>
        <w:rPr>
          <w:rFonts w:hint="eastAsia" w:asciiTheme="minorEastAsia" w:hAnsiTheme="minorEastAsia" w:cstheme="minorEastAsia"/>
          <w:sz w:val="24"/>
          <w:lang w:val="en-US" w:eastAsia="zh-CN"/>
        </w:rPr>
        <w:t>的</w:t>
      </w:r>
      <w:r>
        <w:rPr>
          <w:rFonts w:hint="eastAsia" w:asciiTheme="minorEastAsia" w:hAnsiTheme="minorEastAsia" w:cstheme="minorEastAsia"/>
          <w:sz w:val="24"/>
        </w:rPr>
        <w:t>认可。</w:t>
      </w:r>
    </w:p>
    <w:p w14:paraId="01E4F413">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公司依据 CSS 系统，建立并实施顾客投诉处理流程，确保及时有效地处理客户投诉。客户投诉由专职人员处理，每张投诉工单，均应严密监控，根据客户投诉类型与程度的差异，以客户为中心并注重收集和解决客户的反馈，并采取必要的纠正/预防措施，以防止类似问题的重复发生。以电话回访的方式跟踪投诉处理过程，了解顾客的满意度。同时，公司品质部门对客诉信息定期监测，对市场中发生及影响客户满意度和产品体验的质量问题进行集中收集，并加以分析，形成报告。每月组织内部各部门召开公司级产品质量会议。组建 QCC 品管圈、六西格玛、可靠性项目改善团队，联动上游供应商及相关合作伙伴，对重大产品质量问题进行攻坚改善，消除质量风险，提升产品质量满意度。</w:t>
      </w:r>
    </w:p>
    <w:p w14:paraId="2668A1C4">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通过对客诉信息的重视和快速响应，以下各方面得到了提升：</w:t>
      </w:r>
    </w:p>
    <w:p w14:paraId="23AEEB9A">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a）客户投诉及时处理后，客户更加满意，客户满意度提高；</w:t>
      </w:r>
    </w:p>
    <w:p w14:paraId="7706FF11">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b）改善同客户的关系，重复性订单增加、传递口碑；</w:t>
      </w:r>
    </w:p>
    <w:p w14:paraId="62AF0460">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c）降低客户转向竞争对手的可能性；</w:t>
      </w:r>
    </w:p>
    <w:p w14:paraId="142A9D0A">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d）提高公司产品和服务的质量；</w:t>
      </w:r>
    </w:p>
    <w:p w14:paraId="23D0BBD6">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e）提供未来的业务机会。</w:t>
      </w:r>
    </w:p>
    <w:p w14:paraId="7CC09F80">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8"/>
          <w:szCs w:val="28"/>
        </w:rPr>
      </w:pPr>
      <w:bookmarkStart w:id="17" w:name="_Toc26046"/>
      <w:bookmarkStart w:id="18" w:name="_Toc25767"/>
      <w:r>
        <w:rPr>
          <w:rFonts w:hint="eastAsia" w:asciiTheme="minorEastAsia" w:hAnsiTheme="minorEastAsia" w:cstheme="minorEastAsia"/>
          <w:sz w:val="28"/>
          <w:szCs w:val="28"/>
        </w:rPr>
        <w:t>三、质量诚信管理</w:t>
      </w:r>
      <w:bookmarkEnd w:id="17"/>
      <w:bookmarkEnd w:id="18"/>
    </w:p>
    <w:p w14:paraId="25033107">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19" w:name="_Toc32134"/>
      <w:bookmarkStart w:id="20" w:name="_Toc26052"/>
      <w:r>
        <w:rPr>
          <w:rFonts w:hint="eastAsia" w:asciiTheme="minorEastAsia" w:hAnsiTheme="minorEastAsia" w:cstheme="minorEastAsia"/>
          <w:sz w:val="24"/>
        </w:rPr>
        <w:t>（一）质量诚信管理</w:t>
      </w:r>
      <w:bookmarkEnd w:id="19"/>
      <w:bookmarkEnd w:id="20"/>
    </w:p>
    <w:p w14:paraId="5F9424BA">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诚信是火星人管理的重要组成部分，质量诚信的理念和自律在火星人已经成为了各级人员的共识，是必须遵守的基本职业道德，其全方面的诚信体现在：</w:t>
      </w:r>
    </w:p>
    <w:p w14:paraId="2209E8B3">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1）建立诚信守法的环境</w:t>
      </w:r>
    </w:p>
    <w:p w14:paraId="4D70A9FC">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sz w:val="24"/>
          <w:szCs w:val="32"/>
        </w:rPr>
      </w:pPr>
      <w:r>
        <w:rPr>
          <w:rFonts w:hint="eastAsia" w:ascii="宋体" w:hAnsi="宋体" w:cs="宋体"/>
          <w:sz w:val="24"/>
          <w:szCs w:val="32"/>
        </w:rPr>
        <w:t>高层领导身体力行，恪守诚信道德，合法经营，并保护相关方利益</w:t>
      </w:r>
    </w:p>
    <w:p w14:paraId="7D800243">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sz w:val="24"/>
          <w:szCs w:val="32"/>
        </w:rPr>
      </w:pPr>
      <w:r>
        <w:rPr>
          <w:rFonts w:hint="eastAsia" w:ascii="宋体" w:hAnsi="宋体" w:cs="宋体"/>
          <w:sz w:val="24"/>
          <w:szCs w:val="32"/>
        </w:rPr>
        <w:t>●恪守诚信道德，合法经营</w:t>
      </w:r>
    </w:p>
    <w:p w14:paraId="452BA378">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sz w:val="24"/>
          <w:szCs w:val="32"/>
        </w:rPr>
      </w:pPr>
      <w:r>
        <w:rPr>
          <w:rFonts w:hint="eastAsia" w:ascii="宋体" w:hAnsi="宋体" w:cs="宋体"/>
          <w:sz w:val="24"/>
          <w:szCs w:val="32"/>
        </w:rPr>
        <w:t>高层领导重视领导干部道德素质的提升，在《火星人员工准则》和《奖惩制度》中明确提出对员工的职业道德和廉政、诚信的要求。</w:t>
      </w:r>
    </w:p>
    <w:p w14:paraId="3F2E59DF">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 w:val="24"/>
          <w:szCs w:val="32"/>
        </w:rPr>
      </w:pPr>
      <w:r>
        <w:rPr>
          <w:rFonts w:hint="eastAsia" w:ascii="宋体" w:hAnsi="宋体" w:eastAsia="宋体" w:cs="宋体"/>
          <w:sz w:val="24"/>
          <w:szCs w:val="32"/>
        </w:rPr>
        <w:t>公司常年聘请法律顾问，与律师事务所保持合作，公司领导经常就公司生产经营中的重大决策向法律顾问征求法律意见。</w:t>
      </w:r>
    </w:p>
    <w:p w14:paraId="1055DBE6">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 w:val="24"/>
          <w:szCs w:val="32"/>
        </w:rPr>
      </w:pPr>
      <w:r>
        <w:rPr>
          <w:rFonts w:hint="eastAsia" w:ascii="宋体" w:hAnsi="宋体" w:eastAsia="宋体" w:cs="宋体"/>
          <w:sz w:val="24"/>
          <w:szCs w:val="32"/>
        </w:rPr>
        <w:t>公司建立了OA办公系统《合同</w:t>
      </w:r>
      <w:r>
        <w:rPr>
          <w:rFonts w:hint="eastAsia" w:ascii="宋体" w:hAnsi="宋体" w:eastAsia="宋体" w:cs="宋体"/>
          <w:sz w:val="24"/>
          <w:szCs w:val="32"/>
          <w:lang w:val="en-US" w:eastAsia="zh-CN"/>
        </w:rPr>
        <w:t>管理办法</w:t>
      </w:r>
      <w:r>
        <w:rPr>
          <w:rFonts w:hint="eastAsia" w:ascii="宋体" w:hAnsi="宋体" w:eastAsia="宋体" w:cs="宋体"/>
          <w:sz w:val="24"/>
          <w:szCs w:val="32"/>
        </w:rPr>
        <w:t>》，由董事会办公室、财务部、分管领导负责审查、修改公司的对外合同、协议与相关规章制度。</w:t>
      </w:r>
    </w:p>
    <w:p w14:paraId="5BD0BD05">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 w:val="24"/>
          <w:szCs w:val="32"/>
        </w:rPr>
      </w:pPr>
      <w:r>
        <w:rPr>
          <w:rFonts w:hint="eastAsia" w:ascii="宋体" w:hAnsi="宋体" w:eastAsia="宋体" w:cs="宋体"/>
          <w:sz w:val="24"/>
          <w:szCs w:val="32"/>
        </w:rPr>
        <w:t>公司建立了</w:t>
      </w:r>
      <w:r>
        <w:rPr>
          <w:rFonts w:hint="eastAsia" w:ascii="宋体" w:hAnsi="宋体" w:eastAsia="宋体" w:cs="宋体"/>
          <w:sz w:val="24"/>
          <w:szCs w:val="32"/>
          <w:lang w:val="en-US" w:eastAsia="zh-CN"/>
        </w:rPr>
        <w:t>OA</w:t>
      </w:r>
      <w:r>
        <w:rPr>
          <w:rFonts w:hint="eastAsia" w:ascii="宋体" w:hAnsi="宋体" w:eastAsia="宋体" w:cs="宋体"/>
          <w:sz w:val="24"/>
          <w:szCs w:val="32"/>
        </w:rPr>
        <w:t>用章申请</w:t>
      </w:r>
      <w:r>
        <w:rPr>
          <w:rFonts w:hint="eastAsia" w:ascii="宋体" w:hAnsi="宋体" w:eastAsia="宋体" w:cs="宋体"/>
          <w:sz w:val="24"/>
          <w:szCs w:val="32"/>
          <w:lang w:val="en-US" w:eastAsia="zh-CN"/>
        </w:rPr>
        <w:t>流程</w:t>
      </w:r>
      <w:r>
        <w:rPr>
          <w:rFonts w:hint="eastAsia" w:ascii="宋体" w:hAnsi="宋体" w:eastAsia="宋体" w:cs="宋体"/>
          <w:sz w:val="24"/>
          <w:szCs w:val="32"/>
        </w:rPr>
        <w:t>，签订合同使用公章及合同章，根据授权进行审批后才能使用。</w:t>
      </w:r>
    </w:p>
    <w:p w14:paraId="209B9378">
      <w:pPr>
        <w:keepNext w:val="0"/>
        <w:keepLines w:val="0"/>
        <w:pageBreakBefore w:val="0"/>
        <w:kinsoku/>
        <w:wordWrap/>
        <w:overflowPunct/>
        <w:topLinePunct w:val="0"/>
        <w:autoSpaceDE/>
        <w:autoSpaceDN/>
        <w:bidi w:val="0"/>
        <w:adjustRightInd/>
        <w:snapToGrid/>
        <w:spacing w:line="360" w:lineRule="auto"/>
        <w:ind w:firstLine="480"/>
      </w:pPr>
      <w:r>
        <w:rPr>
          <w:rFonts w:hint="eastAsia" w:ascii="宋体" w:hAnsi="宋体" w:eastAsia="宋体" w:cs="宋体"/>
          <w:sz w:val="24"/>
          <w:szCs w:val="32"/>
        </w:rPr>
        <w:t>公司在企业文化核心价值观中明确了公司经营过程中每一位员工所必须恪守的行为准则，并通过集中学习、学习分享、会议宣贯等各种方式，进行教育，使每一位干部及员工注重职业道德的自我提升，做到诚信经营。</w:t>
      </w:r>
    </w:p>
    <w:p w14:paraId="6ED9A5BB">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2）营造改进创新环境</w:t>
      </w:r>
    </w:p>
    <w:p w14:paraId="0555BE6A">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高层领导通过完善制度、激励措施和以身作则，鼓励各部门各层次人员主动参与形式多样的改进和创新活动，营造创新氛围。如创新改善方面的QCC项目奖励，项目改善奖，提案改善奖；公司建设方面的功勋奖、卓越奖、领袖奖、杰出员工奖</w:t>
      </w:r>
      <w:r>
        <w:rPr>
          <w:rFonts w:hint="eastAsia" w:ascii="宋体" w:hAnsi="宋体" w:eastAsia="宋体" w:cs="宋体"/>
          <w:sz w:val="24"/>
          <w:szCs w:val="32"/>
          <w:lang w:eastAsia="zh-CN"/>
        </w:rPr>
        <w:t>、</w:t>
      </w:r>
      <w:r>
        <w:rPr>
          <w:rFonts w:hint="eastAsia" w:ascii="宋体" w:hAnsi="宋体" w:eastAsia="宋体" w:cs="宋体"/>
          <w:sz w:val="24"/>
          <w:szCs w:val="32"/>
        </w:rPr>
        <w:t>优秀员工奖、学习标杆奖，研发方面的项目奖、专利奖，企业文化方面的最佳文化践行者奖、优秀工会代表奖以及根据战略关联度、经营难度设置不同的激励系数等，有效的调动了干部、员工及加盟商等的积极性。</w:t>
      </w:r>
    </w:p>
    <w:p w14:paraId="3432DC6F">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3）营造快速反应环境</w:t>
      </w:r>
    </w:p>
    <w:p w14:paraId="058EC581">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sz w:val="24"/>
          <w:szCs w:val="32"/>
        </w:rPr>
      </w:pPr>
      <w:r>
        <w:rPr>
          <w:rFonts w:hint="eastAsia" w:ascii="宋体" w:hAnsi="宋体" w:cs="宋体"/>
          <w:sz w:val="24"/>
          <w:szCs w:val="32"/>
        </w:rPr>
        <w:t>高层领导总结年度经营结果，分析市场形势和经营环境的变化，不断调整优化职能分配，调整运营管理机构，形成总经理－</w:t>
      </w:r>
      <w:r>
        <w:rPr>
          <w:rFonts w:hint="eastAsia" w:ascii="宋体" w:hAnsi="宋体" w:cs="宋体"/>
          <w:sz w:val="24"/>
          <w:szCs w:val="32"/>
          <w:lang w:val="en-US" w:eastAsia="zh-CN"/>
        </w:rPr>
        <w:t>副总经理</w:t>
      </w:r>
      <w:r>
        <w:rPr>
          <w:rFonts w:hint="eastAsia" w:ascii="宋体" w:hAnsi="宋体" w:cs="宋体"/>
          <w:sz w:val="24"/>
          <w:szCs w:val="32"/>
        </w:rPr>
        <w:t>－</w:t>
      </w:r>
      <w:r>
        <w:rPr>
          <w:rFonts w:hint="eastAsia" w:ascii="宋体" w:hAnsi="宋体" w:cs="宋体"/>
          <w:sz w:val="24"/>
          <w:szCs w:val="32"/>
          <w:lang w:val="en-US" w:eastAsia="zh-CN"/>
        </w:rPr>
        <w:t>模块总监</w:t>
      </w:r>
      <w:r>
        <w:rPr>
          <w:rFonts w:hint="eastAsia" w:ascii="宋体" w:hAnsi="宋体" w:cs="宋体"/>
          <w:sz w:val="24"/>
          <w:szCs w:val="32"/>
        </w:rPr>
        <w:t>－中层干部的管理模式。各级主管以能力为核心、绩效为导向，根据下属能力的发展灵活地调整授权和责任分配，责、权、利相结合。同时，公司将年度考核目标层层分解，签订目标责任书，落实尽职尽力。</w:t>
      </w:r>
    </w:p>
    <w:p w14:paraId="47882EE4">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4）创建学习型组织</w:t>
      </w:r>
    </w:p>
    <w:p w14:paraId="3D6BE871">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 w:val="24"/>
          <w:szCs w:val="32"/>
        </w:rPr>
      </w:pPr>
      <w:r>
        <w:rPr>
          <w:rFonts w:hint="eastAsia" w:ascii="宋体" w:hAnsi="宋体" w:eastAsia="宋体" w:cs="宋体"/>
          <w:sz w:val="24"/>
          <w:szCs w:val="32"/>
        </w:rPr>
        <w:t>公司人文发展研修院设有专门的培训人员，建立培训学分制，每年根据公司总体要求、员工培训调查、中层干部沟通的方式制定年度培训计划，并按月实施。公司成立</w:t>
      </w:r>
      <w:r>
        <w:rPr>
          <w:rFonts w:ascii="宋体" w:hAnsi="宋体" w:eastAsia="宋体" w:cs="宋体"/>
          <w:sz w:val="24"/>
          <w:szCs w:val="24"/>
        </w:rPr>
        <w:t>人文发展研修院</w:t>
      </w:r>
      <w:r>
        <w:rPr>
          <w:rFonts w:hint="eastAsia" w:ascii="宋体" w:hAnsi="宋体" w:eastAsia="宋体" w:cs="宋体"/>
          <w:sz w:val="24"/>
          <w:szCs w:val="32"/>
        </w:rPr>
        <w:t>，设有内培讲师，并通过课程开设、会议、网络、宣传栏、OA系统、微信等搭建了交流学习、知识共享平台。公司设有标杆学习会，倡导各部门学习各自业务领域的标杆企业。公司还安排技术、管理人员外出考察，学习国内外先进的管理经验和技术。</w:t>
      </w:r>
    </w:p>
    <w:p w14:paraId="5E86D8B9">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color w:val="FF0000"/>
          <w:sz w:val="24"/>
          <w:szCs w:val="32"/>
        </w:rPr>
      </w:pPr>
      <w:r>
        <w:rPr>
          <w:rFonts w:hint="eastAsia" w:ascii="宋体" w:hAnsi="宋体" w:eastAsia="宋体" w:cs="宋体"/>
          <w:sz w:val="24"/>
          <w:szCs w:val="32"/>
          <w:lang w:val="en-GB"/>
        </w:rPr>
        <w:t>建立系统的员工教育、培训体系，</w:t>
      </w:r>
      <w:r>
        <w:rPr>
          <w:rFonts w:hint="eastAsia" w:ascii="宋体" w:hAnsi="宋体" w:eastAsia="宋体" w:cs="宋体"/>
          <w:sz w:val="24"/>
          <w:szCs w:val="32"/>
        </w:rPr>
        <w:t>为不同层级员工提供大量的学习机会</w:t>
      </w:r>
      <w:r>
        <w:rPr>
          <w:rFonts w:hint="eastAsia" w:ascii="宋体" w:hAnsi="宋体" w:eastAsia="宋体" w:cs="宋体"/>
          <w:sz w:val="24"/>
          <w:szCs w:val="32"/>
          <w:lang w:eastAsia="zh-CN"/>
        </w:rPr>
        <w:t>，</w:t>
      </w:r>
      <w:r>
        <w:rPr>
          <w:rFonts w:hint="eastAsia" w:ascii="宋体" w:hAnsi="宋体" w:eastAsia="宋体" w:cs="宋体"/>
          <w:sz w:val="24"/>
          <w:szCs w:val="32"/>
        </w:rPr>
        <w:t>储备人才的培训、中高层的单独培训、月度主题培训、技能等级课程培训、专业课程的外派培训、读书会等，跟踪培训效果，以分享培训心得的方式，检验培训结果并持续改善，追求培训效果最大化。对于新入职员工，进行系统的公司级培训及部门级培训，保证新入职员工快速了解公司文化及制度、融入公司氛围；部门岗位培训有计划、有实施、有结果、有评价，保证员工快速胜任岗位工作。</w:t>
      </w:r>
    </w:p>
    <w:p w14:paraId="3C5E282F">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32"/>
          <w:lang w:eastAsia="zh-CN"/>
        </w:rPr>
      </w:pPr>
      <w:r>
        <w:rPr>
          <w:rFonts w:hint="eastAsia" w:ascii="宋体" w:hAnsi="宋体" w:cs="宋体"/>
          <w:sz w:val="24"/>
          <w:szCs w:val="32"/>
        </w:rPr>
        <w:t>不断导入新的管理方法，兼容并蓄，持续修炼火星人的核心竞争力，形成火星人特有的管理模式</w:t>
      </w:r>
      <w:r>
        <w:rPr>
          <w:rFonts w:hint="eastAsia" w:ascii="宋体" w:hAnsi="宋体" w:cs="宋体"/>
          <w:sz w:val="24"/>
          <w:szCs w:val="32"/>
          <w:lang w:eastAsia="zh-CN"/>
        </w:rPr>
        <w:t>。</w:t>
      </w:r>
    </w:p>
    <w:p w14:paraId="162DFBFC">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5）确保履行产品和服务质量安全的职责</w:t>
      </w:r>
    </w:p>
    <w:p w14:paraId="6213BC89">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highlight w:val="red"/>
        </w:rPr>
      </w:pPr>
      <w:r>
        <w:rPr>
          <w:rFonts w:hint="eastAsia" w:asciiTheme="minorEastAsia" w:hAnsiTheme="minorEastAsia" w:cstheme="minorEastAsia"/>
          <w:sz w:val="24"/>
        </w:rPr>
        <w:t>公司通过深入实施质量管理体系、标准化良好行为、环境管理体系、职业健康安全管理体系、安全生产标准化、知识产权体系、信息安全管理体系、两化融合管理体系、清洁生产体系等，规范管理活动。公司严格遵守 3C 产品强制性认证规范，积极参与和实施产品自愿性认证。</w:t>
      </w:r>
    </w:p>
    <w:p w14:paraId="724BDD73">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6）大力推进品牌建设</w:t>
      </w:r>
    </w:p>
    <w:p w14:paraId="42DF6D3F">
      <w:pPr>
        <w:keepNext w:val="0"/>
        <w:keepLines w:val="0"/>
        <w:pageBreakBefore w:val="0"/>
        <w:kinsoku/>
        <w:wordWrap/>
        <w:overflowPunct/>
        <w:topLinePunct w:val="0"/>
        <w:autoSpaceDE/>
        <w:autoSpaceDN/>
        <w:bidi w:val="0"/>
        <w:adjustRightInd/>
        <w:snapToGrid/>
        <w:spacing w:line="360" w:lineRule="auto"/>
        <w:ind w:firstLine="480" w:firstLineChars="0"/>
        <w:rPr>
          <w:rFonts w:asciiTheme="minorEastAsia" w:hAnsiTheme="minorEastAsia" w:cstheme="minorEastAsia"/>
          <w:sz w:val="24"/>
          <w:highlight w:val="red"/>
        </w:rPr>
      </w:pPr>
      <w:r>
        <w:rPr>
          <w:rFonts w:hint="eastAsia" w:asciiTheme="minorEastAsia" w:hAnsiTheme="minorEastAsia" w:cstheme="minorEastAsia"/>
          <w:sz w:val="24"/>
        </w:rPr>
        <w:t>公司应对品牌进行定位，确定品牌核心价值，制定品牌中长期规划，制定品牌传播推广的措施并有效实施。</w:t>
      </w:r>
      <w:r>
        <w:rPr>
          <w:rFonts w:hint="eastAsia"/>
          <w:sz w:val="24"/>
          <w:szCs w:val="32"/>
        </w:rPr>
        <w:t>高层领导明确品牌规划关键点：推广模式（线上如媒体发声、互联网渠道、垂直领域平台，线下如专卖店活动）、平面广告（广告牌、站点广告）、与公众人物合作等。制定品牌建设监督考核机制，由市场部门负责监督考核品牌建设效果，并纳入责任人的绩效考核管理中。</w:t>
      </w:r>
    </w:p>
    <w:p w14:paraId="0025BF60">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7）强化风险意识，推进持续经营，积极培养公司未来领导者。</w:t>
      </w:r>
    </w:p>
    <w:p w14:paraId="44E60376">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sz w:val="24"/>
        </w:rPr>
      </w:pPr>
      <w:r>
        <w:rPr>
          <w:rFonts w:hint="eastAsia" w:ascii="宋体" w:hAnsi="宋体" w:eastAsia="宋体" w:cs="宋体"/>
          <w:sz w:val="24"/>
        </w:rPr>
        <w:t>①</w:t>
      </w:r>
      <w:r>
        <w:rPr>
          <w:rFonts w:ascii="宋体" w:hAnsi="宋体" w:eastAsia="宋体" w:cs="宋体"/>
          <w:sz w:val="24"/>
        </w:rPr>
        <w:t>对公司内部控制系统的合法性、合理性、健全性和有效性进行测评和监督检查。</w:t>
      </w:r>
    </w:p>
    <w:p w14:paraId="2A861E53">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sz w:val="24"/>
        </w:rPr>
      </w:pPr>
      <w:r>
        <w:rPr>
          <w:rFonts w:hint="eastAsia" w:ascii="宋体" w:hAnsi="宋体" w:eastAsia="宋体" w:cs="宋体"/>
          <w:sz w:val="24"/>
        </w:rPr>
        <w:t>②</w:t>
      </w:r>
      <w:r>
        <w:rPr>
          <w:rFonts w:ascii="宋体" w:hAnsi="宋体" w:eastAsia="宋体" w:cs="宋体"/>
          <w:sz w:val="24"/>
        </w:rPr>
        <w:t>对公司各内部机构的会计资料及其他有关经济资料，以及所反映的财务收支及有关的经济活动的合法性、合规性、真实性和完整性进行审计。</w:t>
      </w:r>
    </w:p>
    <w:p w14:paraId="242542FB">
      <w:pPr>
        <w:keepNext w:val="0"/>
        <w:keepLines w:val="0"/>
        <w:pageBreakBefore w:val="0"/>
        <w:kinsoku/>
        <w:wordWrap/>
        <w:overflowPunct/>
        <w:topLinePunct w:val="0"/>
        <w:autoSpaceDE/>
        <w:autoSpaceDN/>
        <w:bidi w:val="0"/>
        <w:adjustRightInd/>
        <w:snapToGrid/>
        <w:spacing w:line="360" w:lineRule="auto"/>
        <w:ind w:firstLine="480" w:firstLineChars="200"/>
        <w:rPr>
          <w:rFonts w:eastAsia="宋体"/>
        </w:rPr>
      </w:pPr>
      <w:r>
        <w:rPr>
          <w:rFonts w:hint="eastAsia" w:ascii="宋体" w:hAnsi="宋体" w:eastAsia="宋体" w:cs="宋体"/>
          <w:sz w:val="24"/>
        </w:rPr>
        <w:t>③</w:t>
      </w:r>
      <w:r>
        <w:rPr>
          <w:rFonts w:ascii="宋体" w:hAnsi="宋体" w:eastAsia="宋体" w:cs="宋体"/>
          <w:sz w:val="24"/>
        </w:rPr>
        <w:t>协助建立健全反舞弊机制，确定反舞弊的重点领域、关键环节和主要内容，并在内部审计过程中合理关注和检查可能存在的舞弊行为</w:t>
      </w:r>
      <w:r>
        <w:rPr>
          <w:rFonts w:hint="eastAsia" w:ascii="宋体" w:hAnsi="宋体" w:eastAsia="宋体" w:cs="宋体"/>
          <w:sz w:val="24"/>
        </w:rPr>
        <w:t>。</w:t>
      </w:r>
    </w:p>
    <w:p w14:paraId="75FD6F8B">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④建立战略、运营、绩效考核于一体的独立运营监管部门。监测和评审公司及各部门日常绩效情况，并提交高层决策。</w:t>
      </w:r>
    </w:p>
    <w:p w14:paraId="60583A84">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⑤设立产品市场质量小组。</w:t>
      </w:r>
    </w:p>
    <w:p w14:paraId="11F0E0C5">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⑥建立各类风险制度：明确应急流程、处置职能。</w:t>
      </w:r>
    </w:p>
    <w:p w14:paraId="1F421C9D">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⑦内部运营风险排查及预防机制。</w:t>
      </w:r>
    </w:p>
    <w:p w14:paraId="41500491">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⑧实施多个人才计划，培养各层次的领导者。</w:t>
      </w:r>
    </w:p>
    <w:p w14:paraId="02BB049A">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8）组织公司绩效评价。</w:t>
      </w:r>
    </w:p>
    <w:p w14:paraId="154453C6">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rPr>
      </w:pPr>
      <w:r>
        <w:rPr>
          <w:rFonts w:hint="eastAsia" w:ascii="宋体" w:hAnsi="宋体" w:cs="宋体"/>
          <w:sz w:val="24"/>
          <w:szCs w:val="32"/>
        </w:rPr>
        <w:t>高层领导重视战略实施过程和结果的监测，充分利用集体决策机制，通过年度、年中及季度经营分析会、月度战略指标执行分析情况报告、内部管理诊断、对标分析和绩效评价体系等方式方法，对公司的绩效进行评审，与目标及竞争对手进行对比，对指标的适应性测评，并进行调整</w:t>
      </w:r>
      <w:r>
        <w:rPr>
          <w:rFonts w:hint="eastAsia" w:ascii="宋体" w:hAnsi="宋体" w:cs="宋体"/>
        </w:rPr>
        <w:t>。</w:t>
      </w:r>
    </w:p>
    <w:p w14:paraId="3B7275C4">
      <w:pPr>
        <w:keepNext w:val="0"/>
        <w:keepLines w:val="0"/>
        <w:pageBreakBefore w:val="0"/>
        <w:numPr>
          <w:ilvl w:val="0"/>
          <w:numId w:val="1"/>
        </w:numPr>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21" w:name="_Toc12991"/>
      <w:bookmarkStart w:id="22" w:name="_Toc30393"/>
      <w:r>
        <w:rPr>
          <w:rFonts w:hint="eastAsia" w:asciiTheme="minorEastAsia" w:hAnsiTheme="minorEastAsia" w:cstheme="minorEastAsia"/>
          <w:sz w:val="24"/>
        </w:rPr>
        <w:t>质量文化建设</w:t>
      </w:r>
      <w:bookmarkEnd w:id="21"/>
      <w:bookmarkEnd w:id="22"/>
    </w:p>
    <w:p w14:paraId="008CCE99">
      <w:pPr>
        <w:keepNext w:val="0"/>
        <w:keepLines w:val="0"/>
        <w:pageBreakBefore w:val="0"/>
        <w:kinsoku/>
        <w:wordWrap/>
        <w:overflowPunct/>
        <w:topLinePunct w:val="0"/>
        <w:autoSpaceDE/>
        <w:autoSpaceDN/>
        <w:bidi w:val="0"/>
        <w:adjustRightInd/>
        <w:snapToGrid/>
        <w:spacing w:line="360" w:lineRule="auto"/>
        <w:ind w:firstLine="480"/>
        <w:rPr>
          <w:rFonts w:ascii="宋体" w:hAnsi="宋体" w:cs="宋体"/>
          <w:sz w:val="24"/>
          <w:szCs w:val="32"/>
        </w:rPr>
      </w:pPr>
      <w:r>
        <w:rPr>
          <w:rFonts w:hint="eastAsia" w:ascii="宋体" w:hAnsi="宋体" w:cs="宋体"/>
          <w:sz w:val="24"/>
          <w:szCs w:val="32"/>
        </w:rPr>
        <w:t>火星人厨具股份有限公司在1</w:t>
      </w:r>
      <w:r>
        <w:rPr>
          <w:rFonts w:hint="eastAsia" w:ascii="宋体" w:hAnsi="宋体" w:cs="宋体"/>
          <w:sz w:val="24"/>
          <w:szCs w:val="32"/>
          <w:lang w:val="en-US" w:eastAsia="zh-CN"/>
        </w:rPr>
        <w:t>4</w:t>
      </w:r>
      <w:r>
        <w:rPr>
          <w:rFonts w:hint="eastAsia" w:ascii="宋体" w:hAnsi="宋体" w:cs="宋体"/>
          <w:sz w:val="24"/>
          <w:szCs w:val="32"/>
        </w:rPr>
        <w:t>年的发展和经营过程中，积累了深厚的文化底蕴，并形成独具特色的企业文化、企业宗旨和经营理念。高层领导依据行业特点、自身优势、管理团队和全体职工的期望，以肩负企业使命和关注国计民生为出发点制定了中长期的发展目标，最终形成了火星人的企业文化。</w:t>
      </w:r>
      <w:r>
        <w:rPr>
          <w:rFonts w:hint="eastAsia" w:ascii="宋体" w:hAnsi="宋体" w:cs="宋体"/>
          <w:sz w:val="24"/>
          <w:szCs w:val="32"/>
        </w:rPr>
        <w:br w:type="textWrapping"/>
      </w:r>
      <w:r>
        <w:rPr>
          <w:rFonts w:hint="eastAsia" w:ascii="宋体" w:hAnsi="宋体" w:cs="宋体"/>
          <w:sz w:val="24"/>
          <w:szCs w:val="32"/>
        </w:rPr>
        <w:t>火星人通过至上而下及至下而上的多次探讨，最终形成了“德治、德行、德艺”，简称“三德文化”。“三德文化”随着公司持续推广宣贯，已经深入人心，成为公司经营发展及员工行为规范的准绳。</w:t>
      </w:r>
      <w:r>
        <w:rPr>
          <w:rFonts w:hint="eastAsia" w:ascii="宋体" w:hAnsi="宋体" w:cs="宋体"/>
          <w:sz w:val="24"/>
          <w:szCs w:val="32"/>
        </w:rPr>
        <w:br w:type="textWrapping"/>
      </w:r>
      <w:r>
        <w:rPr>
          <w:rFonts w:hint="eastAsia" w:ascii="宋体" w:hAnsi="宋体" w:cs="宋体"/>
          <w:sz w:val="24"/>
          <w:szCs w:val="32"/>
        </w:rPr>
        <w:t xml:space="preserve">    愿景:成为让人自豪的卓越企业。</w:t>
      </w:r>
      <w:r>
        <w:rPr>
          <w:rFonts w:hint="eastAsia" w:ascii="宋体" w:hAnsi="宋体" w:cs="宋体"/>
          <w:sz w:val="24"/>
          <w:szCs w:val="32"/>
        </w:rPr>
        <w:br w:type="textWrapping"/>
      </w:r>
      <w:r>
        <w:rPr>
          <w:rFonts w:hint="eastAsia" w:ascii="宋体" w:hAnsi="宋体" w:cs="宋体"/>
          <w:sz w:val="24"/>
          <w:szCs w:val="32"/>
        </w:rPr>
        <w:t xml:space="preserve">    使命:让厨房生活更健康。</w:t>
      </w:r>
      <w:r>
        <w:rPr>
          <w:rFonts w:hint="eastAsia" w:ascii="宋体" w:hAnsi="宋体" w:cs="宋体"/>
          <w:sz w:val="24"/>
          <w:szCs w:val="32"/>
        </w:rPr>
        <w:br w:type="textWrapping"/>
      </w:r>
      <w:r>
        <w:rPr>
          <w:rFonts w:hint="eastAsia" w:ascii="宋体" w:hAnsi="宋体" w:cs="宋体"/>
          <w:sz w:val="24"/>
          <w:szCs w:val="32"/>
        </w:rPr>
        <w:t xml:space="preserve">    总方针：持续创新 行业领先</w:t>
      </w:r>
      <w:r>
        <w:rPr>
          <w:rFonts w:hint="eastAsia" w:ascii="宋体" w:hAnsi="宋体" w:cs="宋体"/>
          <w:sz w:val="24"/>
          <w:szCs w:val="32"/>
        </w:rPr>
        <w:br w:type="textWrapping"/>
      </w:r>
      <w:r>
        <w:rPr>
          <w:rFonts w:hint="eastAsia" w:ascii="宋体" w:hAnsi="宋体" w:cs="宋体"/>
          <w:sz w:val="24"/>
          <w:szCs w:val="32"/>
        </w:rPr>
        <w:t xml:space="preserve">    核心价值观：厚德向善、开放、坦诚、担当、科学理性、用户至上。</w:t>
      </w:r>
      <w:r>
        <w:rPr>
          <w:rFonts w:hint="eastAsia" w:ascii="宋体" w:hAnsi="宋体" w:cs="宋体"/>
          <w:sz w:val="24"/>
          <w:szCs w:val="32"/>
        </w:rPr>
        <w:br w:type="textWrapping"/>
      </w:r>
      <w:r>
        <w:rPr>
          <w:rFonts w:hint="eastAsia" w:ascii="宋体" w:hAnsi="宋体" w:cs="宋体"/>
          <w:sz w:val="24"/>
          <w:szCs w:val="32"/>
        </w:rPr>
        <w:t xml:space="preserve">    三德文化: 德治、德行、德艺</w:t>
      </w:r>
      <w:r>
        <w:rPr>
          <w:rFonts w:hint="eastAsia" w:ascii="宋体" w:hAnsi="宋体" w:cs="宋体"/>
          <w:sz w:val="24"/>
          <w:szCs w:val="32"/>
        </w:rPr>
        <w:br w:type="textWrapping"/>
      </w:r>
      <w:r>
        <w:rPr>
          <w:rFonts w:hint="eastAsia" w:ascii="宋体" w:hAnsi="宋体" w:cs="宋体"/>
          <w:sz w:val="24"/>
          <w:szCs w:val="32"/>
        </w:rPr>
        <w:t xml:space="preserve">    火星人作为一家以使命、愿景和核心价值观驱动的公司，所有工作都紧紧围绕核心展开。公司注重以创新文化、管理文化、安全文化、教育文化、家园文化、和谐文化价值为传播体系，通过开展各项活动传播文化的力量，发挥“内有聚力，外有张力”的文化效应。在公司发展规划中，从理念文化、制度文化、行为文化和视觉文化四个层面制订企业文化建设规划，确定企业文化建设的必选工作和拓展工作，打造“创新、卓越、守信、和谐”的火星人。</w:t>
      </w:r>
      <w:r>
        <w:rPr>
          <w:rFonts w:hint="eastAsia" w:ascii="宋体" w:hAnsi="宋体" w:cs="宋体"/>
          <w:sz w:val="24"/>
          <w:szCs w:val="32"/>
        </w:rPr>
        <w:br w:type="textWrapping"/>
      </w:r>
      <w:r>
        <w:rPr>
          <w:rFonts w:hint="eastAsia" w:ascii="宋体" w:hAnsi="宋体" w:cs="宋体"/>
          <w:sz w:val="24"/>
          <w:szCs w:val="32"/>
        </w:rPr>
        <w:t xml:space="preserve">    质量文化作为企业文化的重要组成部分，公司大力推进质量文化建设。形成了完善的文化传播体系，由人力资源部、党支部、工会、负责企业文化的系统传播，定期举办各种文化活动，逐步形成了完善的文化体系，并最终建立了独特的火星人文化传播六大系统，如组织系统、活动系统、传播系统、激励系统、文化CIS系统、福利系统。</w:t>
      </w:r>
      <w:r>
        <w:rPr>
          <w:rFonts w:hint="eastAsia" w:ascii="宋体" w:hAnsi="宋体" w:cs="宋体"/>
          <w:sz w:val="24"/>
          <w:szCs w:val="32"/>
        </w:rPr>
        <w:br w:type="textWrapping"/>
      </w:r>
      <w:r>
        <w:rPr>
          <w:rFonts w:hint="eastAsia" w:ascii="宋体" w:hAnsi="宋体" w:cs="宋体"/>
          <w:sz w:val="24"/>
          <w:szCs w:val="32"/>
        </w:rPr>
        <w:t xml:space="preserve">    公司的使命和愿景、总方针、价值观、三德文化及质量方针，构建了包括理念、制度、行为和形象四个层次的企业文化体系，人文发展研修院负责企业文化推进工作。</w:t>
      </w:r>
    </w:p>
    <w:p w14:paraId="3F18018B">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4"/>
        </w:rPr>
      </w:pPr>
      <w:bookmarkStart w:id="23" w:name="_Toc7963"/>
      <w:bookmarkStart w:id="24" w:name="_Toc9950"/>
      <w:r>
        <w:rPr>
          <w:rFonts w:hint="eastAsia" w:asciiTheme="minorEastAsia" w:hAnsiTheme="minorEastAsia" w:cstheme="minorEastAsia"/>
          <w:sz w:val="24"/>
        </w:rPr>
        <w:t>四、企业质量基础</w:t>
      </w:r>
      <w:bookmarkEnd w:id="23"/>
      <w:bookmarkEnd w:id="24"/>
    </w:p>
    <w:p w14:paraId="4E8188FF">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25" w:name="_Toc12994"/>
      <w:bookmarkStart w:id="26" w:name="_Toc2992"/>
      <w:r>
        <w:rPr>
          <w:rFonts w:hint="eastAsia" w:asciiTheme="minorEastAsia" w:hAnsiTheme="minorEastAsia" w:cstheme="minorEastAsia"/>
          <w:sz w:val="24"/>
        </w:rPr>
        <w:t>（一）企业产品标准</w:t>
      </w:r>
      <w:bookmarkEnd w:id="25"/>
      <w:bookmarkEnd w:id="26"/>
    </w:p>
    <w:p w14:paraId="0D77654A">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ascii="宋体" w:hAnsi="宋体" w:eastAsia="宋体" w:cs="宋体"/>
          <w:color w:val="auto"/>
          <w:sz w:val="24"/>
        </w:rPr>
        <w:t>火星人参与公司核心产品有关的国家/行业</w:t>
      </w:r>
      <w:r>
        <w:rPr>
          <w:rFonts w:hint="eastAsia" w:ascii="宋体" w:hAnsi="宋体" w:eastAsia="宋体" w:cs="宋体"/>
          <w:color w:val="auto"/>
          <w:sz w:val="24"/>
          <w:lang w:val="en-US" w:eastAsia="zh-CN"/>
        </w:rPr>
        <w:t>/团体</w:t>
      </w:r>
      <w:r>
        <w:rPr>
          <w:rFonts w:ascii="宋体" w:hAnsi="宋体" w:eastAsia="宋体" w:cs="宋体"/>
          <w:color w:val="auto"/>
          <w:sz w:val="24"/>
        </w:rPr>
        <w:t>标准的制修订活动共</w:t>
      </w:r>
      <w:r>
        <w:rPr>
          <w:rFonts w:hint="eastAsia" w:ascii="宋体" w:hAnsi="宋体" w:eastAsia="宋体" w:cs="宋体"/>
          <w:color w:val="auto"/>
          <w:sz w:val="24"/>
          <w:lang w:val="en-US" w:eastAsia="zh-CN"/>
        </w:rPr>
        <w:t>34</w:t>
      </w:r>
      <w:r>
        <w:rPr>
          <w:rFonts w:ascii="宋体" w:hAnsi="宋体" w:eastAsia="宋体" w:cs="宋体"/>
          <w:color w:val="auto"/>
          <w:sz w:val="24"/>
        </w:rPr>
        <w:t>项</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已发布23项，进行中11项</w:t>
      </w:r>
      <w:r>
        <w:rPr>
          <w:rFonts w:ascii="宋体" w:hAnsi="宋体" w:eastAsia="宋体" w:cs="宋体"/>
          <w:color w:val="auto"/>
          <w:sz w:val="24"/>
        </w:rPr>
        <w:t>。其中参与国家标准起草工作</w:t>
      </w:r>
      <w:r>
        <w:rPr>
          <w:rFonts w:hint="eastAsia" w:ascii="宋体" w:hAnsi="宋体" w:eastAsia="宋体" w:cs="宋体"/>
          <w:color w:val="auto"/>
          <w:sz w:val="24"/>
          <w:lang w:val="en-US" w:eastAsia="zh-CN"/>
        </w:rPr>
        <w:t>4</w:t>
      </w:r>
      <w:r>
        <w:rPr>
          <w:rFonts w:ascii="宋体" w:hAnsi="宋体" w:eastAsia="宋体" w:cs="宋体"/>
          <w:color w:val="auto"/>
          <w:sz w:val="24"/>
        </w:rPr>
        <w:t>项，行业标准</w:t>
      </w:r>
      <w:r>
        <w:rPr>
          <w:rFonts w:hint="eastAsia" w:ascii="宋体" w:hAnsi="宋体" w:eastAsia="宋体" w:cs="宋体"/>
          <w:color w:val="auto"/>
          <w:sz w:val="24"/>
          <w:lang w:val="en-US" w:eastAsia="zh-CN"/>
        </w:rPr>
        <w:t>7</w:t>
      </w:r>
      <w:r>
        <w:rPr>
          <w:rFonts w:ascii="宋体" w:hAnsi="宋体" w:eastAsia="宋体" w:cs="宋体"/>
          <w:color w:val="auto"/>
          <w:sz w:val="24"/>
        </w:rPr>
        <w:t>项，团体标准</w:t>
      </w:r>
      <w:r>
        <w:rPr>
          <w:rFonts w:hint="eastAsia" w:ascii="宋体" w:hAnsi="宋体" w:eastAsia="宋体" w:cs="宋体"/>
          <w:color w:val="auto"/>
          <w:sz w:val="24"/>
          <w:lang w:val="en-US" w:eastAsia="zh-CN"/>
        </w:rPr>
        <w:t>22</w:t>
      </w:r>
      <w:r>
        <w:rPr>
          <w:rFonts w:ascii="宋体" w:hAnsi="宋体" w:eastAsia="宋体" w:cs="宋体"/>
          <w:color w:val="auto"/>
          <w:sz w:val="24"/>
        </w:rPr>
        <w:t>项，其中主导了《家用和类似用途集成洗碗机》起草工作。</w:t>
      </w:r>
      <w:r>
        <w:rPr>
          <w:rFonts w:ascii="宋体" w:hAnsi="宋体" w:eastAsia="宋体" w:cs="宋体"/>
          <w:color w:val="FF0000"/>
          <w:sz w:val="24"/>
        </w:rPr>
        <w:br w:type="textWrapping"/>
      </w:r>
      <w:r>
        <w:rPr>
          <w:rFonts w:hint="eastAsia" w:ascii="宋体" w:hAnsi="宋体" w:eastAsia="宋体" w:cs="宋体"/>
          <w:sz w:val="24"/>
        </w:rPr>
        <w:t xml:space="preserve">    </w:t>
      </w:r>
      <w:r>
        <w:rPr>
          <w:rFonts w:ascii="宋体" w:hAnsi="宋体" w:eastAsia="宋体" w:cs="宋体"/>
          <w:sz w:val="24"/>
        </w:rPr>
        <w:t>公司着力于打造具备实验设计研究和测试评价能力的行业领先实验室，建立一支能够支撑产研系统创新研究、标准领先、产品竞争力提升的实验团队。不断加强自身建设，对实验仪器设备、设施和环境条件进行完善。</w:t>
      </w:r>
      <w:r>
        <w:rPr>
          <w:rFonts w:ascii="宋体" w:hAnsi="宋体" w:eastAsia="宋体" w:cs="宋体"/>
          <w:sz w:val="24"/>
        </w:rPr>
        <w:br w:type="textWrapping"/>
      </w:r>
      <w:r>
        <w:rPr>
          <w:rFonts w:hint="eastAsia" w:ascii="宋体" w:hAnsi="宋体" w:eastAsia="宋体" w:cs="宋体"/>
          <w:sz w:val="24"/>
        </w:rPr>
        <w:t xml:space="preserve">    技术中心</w:t>
      </w:r>
      <w:r>
        <w:rPr>
          <w:rFonts w:ascii="宋体" w:hAnsi="宋体" w:eastAsia="宋体" w:cs="宋体"/>
          <w:sz w:val="24"/>
        </w:rPr>
        <w:t>实验室现有建筑面积5500㎡，总投资约2600万，设有40个检测室，检测仪器设备345台，确保集成灶、洗碗机、燃气热水器、净水器、垃圾处理器、橱柜等品类产品在研发各阶段技术检测及技术研究测试工作。实验室同安徽工业大学、中国农业大学合作成立相关联合实验室，加强基础技术研究。</w:t>
      </w:r>
    </w:p>
    <w:p w14:paraId="4DC0F7CC">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14:paraId="1FBB1BDA">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27" w:name="_Toc10753"/>
      <w:bookmarkStart w:id="28" w:name="_Toc28596"/>
      <w:r>
        <w:rPr>
          <w:rFonts w:hint="eastAsia" w:asciiTheme="minorEastAsia" w:hAnsiTheme="minorEastAsia" w:cstheme="minorEastAsia"/>
          <w:sz w:val="24"/>
        </w:rPr>
        <w:t>（二）企业计量水平</w:t>
      </w:r>
      <w:bookmarkEnd w:id="27"/>
      <w:bookmarkEnd w:id="28"/>
    </w:p>
    <w:p w14:paraId="560F07B1">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严格执行《中华人民共和国计量法》等文件法规，从原材料采购、过程管理、生产设备、检验设备、工序检验、成品检验等环节建立了一整套管理文件和控制方法。厂区设立专职计量人员，负责公司的在用计量设备管理、配备和定期校检工作，为公司的计量管理的规范化提供了有力的保障。</w:t>
      </w:r>
    </w:p>
    <w:p w14:paraId="34C5BDEB">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为确保产品质量，在产品生产工艺中严格过程控制，对生产工艺过程中的原辅材料等加强计量管理，确保计量设备的正常运行和计量的准确性。</w:t>
      </w:r>
    </w:p>
    <w:p w14:paraId="0966CB0E">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通过建立覆盖全公司的计量工作管理网络，依托 MES、OA 等信息化软件，实现公司计量器具的全生命周期管理。计量器具从采购、入库、出库领用、维修、报废均严格按照审批计划和管理程序执行；对在用的计量器具严格按周期检定，并通过建立月度关键测量过程抽查、测量设备抽查机制等强化现场监管，掌握其使用情况，发现问题及时处理；对存在问题部门提出整改意见，采取积极有效措施进行整改，为生产优质产品奠定了坚实的的计量基础。</w:t>
      </w:r>
    </w:p>
    <w:p w14:paraId="6B3735A9">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2021年，火星人实验室通过 CNAS 认证后，试验能力获得国家认可。并保持与高校团队的合作，通过产学研合作提升公司技术水平和测试水平。</w:t>
      </w:r>
    </w:p>
    <w:p w14:paraId="4C10F58A">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29" w:name="_Toc14446"/>
      <w:bookmarkStart w:id="30" w:name="_Toc30097"/>
      <w:r>
        <w:rPr>
          <w:rFonts w:hint="eastAsia" w:asciiTheme="minorEastAsia" w:hAnsiTheme="minorEastAsia" w:cstheme="minorEastAsia"/>
          <w:sz w:val="24"/>
        </w:rPr>
        <w:t>（三）认证认可情况</w:t>
      </w:r>
      <w:bookmarkEnd w:id="29"/>
      <w:bookmarkEnd w:id="30"/>
    </w:p>
    <w:p w14:paraId="641EB1EB">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为全面提升产品质量，确保各项生产经营活动规范、标准，公司先后通过 ISO9001 质量管理体系、ISO14001 环境管理体系、GB/T</w:t>
      </w:r>
      <w:r>
        <w:rPr>
          <w:rFonts w:hint="eastAsia" w:asciiTheme="minorEastAsia" w:hAnsiTheme="minorEastAsia" w:cstheme="minorEastAsia"/>
          <w:sz w:val="24"/>
          <w:lang w:val="en-US" w:eastAsia="zh-CN"/>
        </w:rPr>
        <w:t>45</w:t>
      </w:r>
      <w:r>
        <w:rPr>
          <w:rFonts w:hint="eastAsia" w:asciiTheme="minorEastAsia" w:hAnsiTheme="minorEastAsia" w:cstheme="minorEastAsia"/>
          <w:sz w:val="24"/>
        </w:rPr>
        <w:t>001 职业健康安全管理体系 、浙江制造认证等。</w:t>
      </w:r>
    </w:p>
    <w:p w14:paraId="077F815D">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24A27830">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31" w:name="_Toc173"/>
      <w:bookmarkStart w:id="32" w:name="_Toc8663"/>
      <w:r>
        <w:rPr>
          <w:rFonts w:hint="eastAsia" w:asciiTheme="minorEastAsia" w:hAnsiTheme="minorEastAsia" w:cstheme="minorEastAsia"/>
          <w:sz w:val="24"/>
        </w:rPr>
        <w:t>（四）质量检验情况</w:t>
      </w:r>
      <w:bookmarkEnd w:id="31"/>
      <w:bookmarkEnd w:id="32"/>
    </w:p>
    <w:p w14:paraId="2BC7CC1C">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以世界级的品质理念，对公司产品的可靠性和精致度提出严苛要求，实施全过程控制的检验把关。积极贡献独特设计、领先技术，高档品质的厨房（电）产品。火星人一贯坚持产品力为第一竞争力，高质量的产品与服务是提升产品力的保证，公司质量方针指导下，力求对每一件产品的性能、外观设计、制作工艺及可靠性精益求精。产品不仅通过了“CCC”、“CQC”、“卫生许可证”、等多项国内权威认证，多项产品指标更达到行业领先水平。</w:t>
      </w:r>
    </w:p>
    <w:p w14:paraId="0AB2949C">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火星人拥有国家认定企业技术中心和国家级实验室，凭借强大的技术研发能力以及科学的质量管理体系，铸就了其在集成灶行业第一梯队品牌的坚实堡垒。</w:t>
      </w:r>
    </w:p>
    <w:p w14:paraId="22487C95">
      <w:pPr>
        <w:keepNext w:val="0"/>
        <w:keepLines w:val="0"/>
        <w:pageBreakBefore w:val="0"/>
        <w:kinsoku/>
        <w:wordWrap/>
        <w:overflowPunct/>
        <w:topLinePunct w:val="0"/>
        <w:autoSpaceDE/>
        <w:autoSpaceDN/>
        <w:bidi w:val="0"/>
        <w:adjustRightInd/>
        <w:snapToGrid/>
        <w:spacing w:line="360" w:lineRule="auto"/>
        <w:outlineLvl w:val="1"/>
        <w:rPr>
          <w:rFonts w:asciiTheme="minorEastAsia" w:hAnsiTheme="minorEastAsia" w:cstheme="minorEastAsia"/>
          <w:sz w:val="24"/>
        </w:rPr>
      </w:pPr>
      <w:bookmarkStart w:id="33" w:name="_Toc12786"/>
      <w:bookmarkStart w:id="34" w:name="_Toc5117"/>
      <w:r>
        <w:rPr>
          <w:rFonts w:hint="eastAsia" w:asciiTheme="minorEastAsia" w:hAnsiTheme="minorEastAsia" w:cstheme="minorEastAsia"/>
          <w:sz w:val="24"/>
        </w:rPr>
        <w:t>五、产品质量责任</w:t>
      </w:r>
      <w:bookmarkEnd w:id="33"/>
      <w:bookmarkEnd w:id="34"/>
    </w:p>
    <w:p w14:paraId="5CF72CF8">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35" w:name="_Toc11550"/>
      <w:bookmarkStart w:id="36" w:name="_Toc27721"/>
      <w:r>
        <w:rPr>
          <w:rFonts w:hint="eastAsia" w:asciiTheme="minorEastAsia" w:hAnsiTheme="minorEastAsia" w:cstheme="minorEastAsia"/>
          <w:sz w:val="24"/>
        </w:rPr>
        <w:t>（一）产品质量水平</w:t>
      </w:r>
      <w:bookmarkEnd w:id="35"/>
      <w:bookmarkEnd w:id="36"/>
    </w:p>
    <w:p w14:paraId="4CF8B326">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公司树立三不原则：“不接受不合格、不制造不合格、不流出不合格”品质理念，追求品质工作精益求精，产品质量“零缺陷”，系统推进全员参与、全过程控制、提案改善活动、QCC 活动、六西格玛管理等工具方法运用的 TQM 全面质量管理。同时，公司实施 ISO 9001:2015，建立了完善的质量管理体系。加强体系标准的实施和品质管控方法的系统化工作，实现从来料到过程到出货的品质全面提升，以重抓质控点作业方法防呆和关键岗位人员技能为主，并借助品质专业工具进行纠正预防措施分析改进，从而保障产品交付一次合格率、OQC 抽检合格率指标提升、避免质量事故发生。</w:t>
      </w:r>
    </w:p>
    <w:p w14:paraId="07100B50">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每年组织公司内优秀QCC、六西格玛改善项目参加行业及协会改善成果发表赛。</w:t>
      </w:r>
    </w:p>
    <w:p w14:paraId="555C9C5A">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highlight w:val="red"/>
        </w:rPr>
      </w:pPr>
      <w:r>
        <w:rPr>
          <w:rFonts w:hint="eastAsia" w:asciiTheme="minorEastAsia" w:hAnsiTheme="minorEastAsia" w:cstheme="minorEastAsia"/>
          <w:sz w:val="24"/>
        </w:rPr>
        <w:t>品质部通过明确 QA 与 QE 职责，为生产制造过程提供完善的品质保障。QA 负责标准（流程、技术要求）执行监督；问题改善与验证</w:t>
      </w:r>
      <w:r>
        <w:rPr>
          <w:rFonts w:hint="eastAsia" w:asciiTheme="minorEastAsia" w:hAnsiTheme="minorEastAsia" w:cstheme="minorEastAsia"/>
          <w:sz w:val="24"/>
          <w:lang w:val="en-US" w:eastAsia="zh-CN"/>
        </w:rPr>
        <w:t>监督</w:t>
      </w:r>
      <w:r>
        <w:rPr>
          <w:rFonts w:hint="eastAsia" w:asciiTheme="minorEastAsia" w:hAnsiTheme="minorEastAsia" w:cstheme="minorEastAsia"/>
          <w:sz w:val="24"/>
        </w:rPr>
        <w:t>；预防性质量教育，包括制定全员培训教育计划并推动实施（季度为主，制定主题）。QE 负责参与新产品开发，监督流程节点交付，问题关闭，提供数据作为评审决策依据，新技术、新领域、新结构应用时导入模拟测试；参与新供应商开发（参与现场评审）和供应商考评（提供质量数据）；组织过程重点疑难问题质量改进，供方质量改进，以持续改善项目形式开展，包括进度管理，进度检讨、评审，闭环管理；公司的过程品质管理实行“双三检”制度，一方面品质落实“首检、巡检、末检”，另一方面生产执行“自检、互检、专检”，即：按生产工序流程，一线员工和 QC 人员共同确认的首件检验、QC 巡检、一线员工和 QC 共同执行的产品末检。以及按检验人员职责，一线员工自检、班组成员互检、质控点的员工专检与 QC 专检，全面保障产品生产过程的品质。生产制造全过程的品质提升。</w:t>
      </w:r>
    </w:p>
    <w:p w14:paraId="753663D1">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37" w:name="_Toc25328"/>
      <w:bookmarkStart w:id="38" w:name="_Toc16642"/>
      <w:r>
        <w:rPr>
          <w:rFonts w:hint="eastAsia" w:asciiTheme="minorEastAsia" w:hAnsiTheme="minorEastAsia" w:cstheme="minorEastAsia"/>
          <w:sz w:val="24"/>
        </w:rPr>
        <w:t>（二）产品售后责任</w:t>
      </w:r>
      <w:bookmarkEnd w:id="37"/>
      <w:bookmarkEnd w:id="38"/>
    </w:p>
    <w:p w14:paraId="75775586">
      <w:pPr>
        <w:keepNext w:val="0"/>
        <w:keepLines w:val="0"/>
        <w:pageBreakBefore w:val="0"/>
        <w:kinsoku/>
        <w:wordWrap/>
        <w:overflowPunct/>
        <w:topLinePunct w:val="0"/>
        <w:autoSpaceDE/>
        <w:autoSpaceDN/>
        <w:bidi w:val="0"/>
        <w:adjustRightInd/>
        <w:snapToGrid/>
        <w:spacing w:line="360" w:lineRule="auto"/>
        <w:ind w:firstLine="480"/>
      </w:pPr>
      <w:r>
        <w:rPr>
          <w:rFonts w:hint="eastAsia" w:ascii="宋体" w:hAnsi="宋体" w:eastAsia="宋体" w:cs="宋体"/>
          <w:sz w:val="24"/>
          <w:szCs w:val="32"/>
        </w:rPr>
        <w:t>2018年，公司正式推出火星人服务品牌——火星人极速服务小哥。同时，在行业内率先提出12小时极速修和非常满意度概念。同时，公司设立了火星人有极致服务标准（六大服务承诺+四大特色服务），将客户服务做到极致，影响客户使用的故障承诺</w:t>
      </w:r>
      <w:r>
        <w:rPr>
          <w:rFonts w:hint="eastAsia" w:ascii="宋体" w:hAnsi="宋体" w:eastAsia="宋体" w:cs="宋体"/>
          <w:sz w:val="24"/>
          <w:szCs w:val="32"/>
          <w:lang w:val="en-US" w:eastAsia="zh-CN"/>
        </w:rPr>
        <w:t>12</w:t>
      </w:r>
      <w:r>
        <w:rPr>
          <w:rFonts w:hint="eastAsia" w:ascii="宋体" w:hAnsi="宋体" w:eastAsia="宋体" w:cs="宋体"/>
          <w:sz w:val="24"/>
          <w:szCs w:val="32"/>
        </w:rPr>
        <w:t>小时解决，从而把消费者的烦恼度降到最低，让消费者不必为产品故障而烦恼。</w:t>
      </w:r>
    </w:p>
    <w:p w14:paraId="46D00ED1">
      <w:pPr>
        <w:keepNext w:val="0"/>
        <w:keepLines w:val="0"/>
        <w:pageBreakBefore w:val="0"/>
        <w:kinsoku/>
        <w:wordWrap/>
        <w:overflowPunct/>
        <w:topLinePunct w:val="0"/>
        <w:autoSpaceDE/>
        <w:autoSpaceDN/>
        <w:bidi w:val="0"/>
        <w:adjustRightInd/>
        <w:snapToGrid/>
        <w:spacing w:line="360" w:lineRule="auto"/>
        <w:ind w:firstLine="480"/>
        <w:jc w:val="left"/>
        <w:rPr>
          <w:rFonts w:ascii="Times New Roman" w:hAnsi="Times New Roman" w:eastAsia="宋体" w:cs="Times New Roman"/>
          <w:sz w:val="24"/>
          <w:szCs w:val="32"/>
        </w:rPr>
      </w:pPr>
      <w:r>
        <w:rPr>
          <w:rFonts w:hint="eastAsia" w:ascii="Times New Roman" w:hAnsi="Times New Roman" w:eastAsia="宋体" w:cs="Times New Roman"/>
          <w:sz w:val="24"/>
          <w:szCs w:val="32"/>
        </w:rPr>
        <w:t>公司制定了《全渠道客户关怀中心业务处理流程及客诉处理标准》等一整套的产品售后服务及投诉处理制度，明确了处理顾客抱怨（涉及产品和服务不满意）和投诉（涉及顾客安全、严重产品和服务质量问题）的管理流程，规定了投诉受理初步评审、响应、跟踪、终止、结果的分析和反馈等环节的职责和时限承诺。</w:t>
      </w:r>
    </w:p>
    <w:p w14:paraId="2EDF9D87">
      <w:pPr>
        <w:keepNext w:val="0"/>
        <w:keepLines w:val="0"/>
        <w:pageBreakBefore w:val="0"/>
        <w:kinsoku/>
        <w:wordWrap/>
        <w:overflowPunct/>
        <w:topLinePunct w:val="0"/>
        <w:autoSpaceDE/>
        <w:autoSpaceDN/>
        <w:bidi w:val="0"/>
        <w:adjustRightInd/>
        <w:snapToGrid/>
        <w:spacing w:line="360" w:lineRule="auto"/>
        <w:ind w:firstLine="480"/>
        <w:rPr>
          <w:rFonts w:ascii="Times New Roman" w:hAnsi="Times New Roman" w:eastAsia="宋体" w:cs="Times New Roman"/>
          <w:sz w:val="24"/>
          <w:szCs w:val="32"/>
        </w:rPr>
      </w:pPr>
      <w:r>
        <w:rPr>
          <w:rFonts w:hint="eastAsia" w:ascii="Times New Roman" w:hAnsi="Times New Roman" w:eastAsia="宋体" w:cs="Times New Roman"/>
          <w:sz w:val="24"/>
          <w:szCs w:val="32"/>
        </w:rPr>
        <w:t>各部门在处理投诉时沟通畅通、协调一致，确保了顾客投诉得到有效、迅速的解决，并实施了滚动式的顾客投诉纠正措施及跟踪方法，实现了从产品设计、制造、服务等源头上解决问题，并将经验教训作为知识积累的一部分补充到公司知识库，有效避免类似问题的再次发生。</w:t>
      </w:r>
    </w:p>
    <w:p w14:paraId="795A33BF">
      <w:pPr>
        <w:keepNext w:val="0"/>
        <w:keepLines w:val="0"/>
        <w:pageBreakBefore w:val="0"/>
        <w:kinsoku/>
        <w:wordWrap/>
        <w:overflowPunct/>
        <w:topLinePunct w:val="0"/>
        <w:autoSpaceDE/>
        <w:autoSpaceDN/>
        <w:bidi w:val="0"/>
        <w:adjustRightInd/>
        <w:snapToGrid/>
        <w:spacing w:line="360" w:lineRule="auto"/>
        <w:ind w:firstLine="480"/>
        <w:rPr>
          <w:rFonts w:ascii="宋体" w:hAnsi="宋体" w:eastAsia="宋体" w:cs="宋体"/>
          <w:sz w:val="24"/>
          <w:szCs w:val="32"/>
        </w:rPr>
      </w:pPr>
      <w:r>
        <w:rPr>
          <w:rFonts w:hint="eastAsia" w:ascii="宋体" w:hAnsi="宋体" w:eastAsia="宋体" w:cs="宋体"/>
          <w:sz w:val="24"/>
          <w:szCs w:val="32"/>
        </w:rPr>
        <w:t>火星人通过CSS系统、公司网站等收集顾客抱怨及投诉数据，进行系统性分析并采取改进措施，进行整理归纳，防止类似问题的再次发生。</w:t>
      </w:r>
    </w:p>
    <w:p w14:paraId="2ABABDAF">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39" w:name="_Toc3591"/>
      <w:bookmarkStart w:id="40" w:name="_Toc11532"/>
      <w:r>
        <w:rPr>
          <w:rFonts w:hint="eastAsia" w:asciiTheme="minorEastAsia" w:hAnsiTheme="minorEastAsia" w:cstheme="minorEastAsia"/>
          <w:sz w:val="24"/>
        </w:rPr>
        <w:t>（三）企业社会责任</w:t>
      </w:r>
      <w:bookmarkEnd w:id="39"/>
      <w:bookmarkEnd w:id="40"/>
    </w:p>
    <w:p w14:paraId="13E51469">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火星人认为，合规是每一个人的责任。公司和员工应遵守当地和国际法律法规，成为优秀的企业公民和个人。</w:t>
      </w:r>
    </w:p>
    <w:p w14:paraId="0C4EB482">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法律规定的都要做到，这是企业生存的基础、底线；企业要做到和谐、可持续的发展，同时要让员工得到很好的发展，既包括职业的发展，也包括为人修身方面的发展。</w:t>
      </w:r>
    </w:p>
    <w:p w14:paraId="5B381A98">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sz w:val="24"/>
        </w:rPr>
      </w:pPr>
      <w:r>
        <w:rPr>
          <w:rFonts w:ascii="宋体" w:hAnsi="宋体" w:eastAsia="宋体" w:cs="宋体"/>
          <w:sz w:val="24"/>
        </w:rPr>
        <w:t>火星人在高速发展之余也不忘积极承担社会责任，多年来，一直秉承着“厚德向善”的核心价值观，发扬着心怀善念、感恩利他的精神，一己之力回馈社会。不但积极参加千万教育基金、“火星人关爱肺癌家庭健康”博爱公益、河南水灾捐赠、潮乡共富等项目，还连续多年助力行知小学足球队、慰问敬老院、夏日为环卫工人送清凉等等。更是成立义工队以及工会志愿者队伍，每年积极开展多场志愿活动。</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火星人将继续做好弘扬慈善文化，弘扬公益精神，传递爱心，为爱，我们一直在路上。</w:t>
      </w:r>
    </w:p>
    <w:p w14:paraId="2F9D00A3">
      <w:pPr>
        <w:keepNext w:val="0"/>
        <w:keepLines w:val="0"/>
        <w:pageBreakBefore w:val="0"/>
        <w:kinsoku/>
        <w:wordWrap/>
        <w:overflowPunct/>
        <w:topLinePunct w:val="0"/>
        <w:autoSpaceDE/>
        <w:autoSpaceDN/>
        <w:bidi w:val="0"/>
        <w:adjustRightInd/>
        <w:snapToGrid/>
        <w:spacing w:line="360" w:lineRule="auto"/>
        <w:outlineLvl w:val="2"/>
        <w:rPr>
          <w:rFonts w:asciiTheme="minorEastAsia" w:hAnsiTheme="minorEastAsia" w:cstheme="minorEastAsia"/>
          <w:sz w:val="24"/>
        </w:rPr>
      </w:pPr>
      <w:bookmarkStart w:id="41" w:name="_Toc2562"/>
      <w:bookmarkStart w:id="42" w:name="_Toc30348"/>
      <w:r>
        <w:rPr>
          <w:rFonts w:hint="eastAsia" w:asciiTheme="minorEastAsia" w:hAnsiTheme="minorEastAsia" w:cstheme="minorEastAsia"/>
          <w:sz w:val="24"/>
        </w:rPr>
        <w:t>（四）质量信用记录</w:t>
      </w:r>
      <w:bookmarkEnd w:id="41"/>
      <w:bookmarkEnd w:id="42"/>
    </w:p>
    <w:p w14:paraId="0C0D9CC5">
      <w:pPr>
        <w:keepNext w:val="0"/>
        <w:keepLines w:val="0"/>
        <w:pageBreakBefore w:val="0"/>
        <w:kinsoku/>
        <w:wordWrap/>
        <w:overflowPunct/>
        <w:topLinePunct w:val="0"/>
        <w:autoSpaceDE/>
        <w:autoSpaceDN/>
        <w:bidi w:val="0"/>
        <w:adjustRightInd/>
        <w:snapToGrid/>
        <w:spacing w:line="360" w:lineRule="auto"/>
        <w:rPr>
          <w:rFonts w:asciiTheme="minorEastAsia" w:hAnsiTheme="minorEastAsia" w:cstheme="minorEastAsia"/>
          <w:sz w:val="24"/>
        </w:rPr>
      </w:pPr>
      <w:r>
        <w:rPr>
          <w:rFonts w:hint="eastAsia" w:asciiTheme="minorEastAsia" w:hAnsiTheme="minorEastAsia" w:cstheme="minorEastAsia"/>
          <w:sz w:val="24"/>
        </w:rPr>
        <w:t>十</w:t>
      </w:r>
      <w:r>
        <w:rPr>
          <w:rFonts w:hint="eastAsia" w:asciiTheme="minorEastAsia" w:hAnsiTheme="minorEastAsia" w:cstheme="minorEastAsia"/>
          <w:sz w:val="24"/>
          <w:lang w:val="en-US" w:eastAsia="zh-CN"/>
        </w:rPr>
        <w:t>四</w:t>
      </w:r>
      <w:bookmarkStart w:id="45" w:name="_GoBack"/>
      <w:bookmarkEnd w:id="45"/>
      <w:r>
        <w:rPr>
          <w:rFonts w:hint="eastAsia" w:asciiTheme="minorEastAsia" w:hAnsiTheme="minorEastAsia" w:cstheme="minorEastAsia"/>
          <w:sz w:val="24"/>
        </w:rPr>
        <w:t>年来，火星人取得了许多的卓越成绩，多次获得各级政府主管部门和行业协会的表彰和奖励，近三年部分获奖情况如下：</w:t>
      </w:r>
    </w:p>
    <w:tbl>
      <w:tblPr>
        <w:tblStyle w:val="13"/>
        <w:tblpPr w:leftFromText="180" w:rightFromText="180" w:vertAnchor="text" w:horzAnchor="page" w:tblpX="1109" w:tblpY="679"/>
        <w:tblOverlap w:val="never"/>
        <w:tblW w:w="9928" w:type="dxa"/>
        <w:tblInd w:w="0" w:type="dxa"/>
        <w:tblLayout w:type="fixed"/>
        <w:tblCellMar>
          <w:top w:w="0" w:type="dxa"/>
          <w:left w:w="108" w:type="dxa"/>
          <w:bottom w:w="0" w:type="dxa"/>
          <w:right w:w="108" w:type="dxa"/>
        </w:tblCellMar>
      </w:tblPr>
      <w:tblGrid>
        <w:gridCol w:w="695"/>
        <w:gridCol w:w="5133"/>
        <w:gridCol w:w="2163"/>
        <w:gridCol w:w="1937"/>
      </w:tblGrid>
      <w:tr w14:paraId="2101E01B">
        <w:tblPrEx>
          <w:tblCellMar>
            <w:top w:w="0" w:type="dxa"/>
            <w:left w:w="108" w:type="dxa"/>
            <w:bottom w:w="0" w:type="dxa"/>
            <w:right w:w="108" w:type="dxa"/>
          </w:tblCellMar>
        </w:tblPrEx>
        <w:trPr>
          <w:trHeight w:val="386"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07F549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5133"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7AEE30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获奖内容</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433852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颁奖单位</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00B0F0"/>
            <w:vAlign w:val="center"/>
          </w:tcPr>
          <w:p w14:paraId="6B10A6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获奖时间</w:t>
            </w:r>
          </w:p>
        </w:tc>
      </w:tr>
      <w:tr w14:paraId="11426C22">
        <w:tblPrEx>
          <w:tblCellMar>
            <w:top w:w="0" w:type="dxa"/>
            <w:left w:w="108" w:type="dxa"/>
            <w:bottom w:w="0" w:type="dxa"/>
            <w:right w:w="108" w:type="dxa"/>
          </w:tblCellMar>
        </w:tblPrEx>
        <w:trPr>
          <w:trHeight w:val="3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0B0ECA0A">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000000"/>
                <w:sz w:val="24"/>
              </w:rPr>
            </w:pPr>
          </w:p>
        </w:tc>
        <w:tc>
          <w:tcPr>
            <w:tcW w:w="5133"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4BEE6101">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000000"/>
                <w:sz w:val="24"/>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290B9F6A">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000000"/>
                <w:sz w:val="24"/>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00B0F0"/>
            <w:vAlign w:val="center"/>
          </w:tcPr>
          <w:p w14:paraId="3E3219CB">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s="宋体"/>
                <w:color w:val="000000"/>
                <w:sz w:val="24"/>
              </w:rPr>
            </w:pPr>
          </w:p>
        </w:tc>
      </w:tr>
      <w:tr w14:paraId="19C7CDF1">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9D0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1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当代好设计金奖U6</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D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红点主办</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3E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0BFDBED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5F7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D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当代好设计奖Q3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A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红点主办</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35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4B267F8D">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EC3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25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中楹榜-2021中国建材网优选品牌-集成灶影响力品牌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A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中国建材网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89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4A064BE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B2DF">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AC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十强研发投入企业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7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中共海宁市委、海宁市人民政府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2D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0C73548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767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F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X5BZ02 中国集成灶“高效净化环保之星”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5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中国五金制品协会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0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0FD4970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02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9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E6G/X  中国集成灶“高效净化环保之星”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93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中国五金制品协会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89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3652CEE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80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A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第四届海宁慈善奖“企业捐赠奖”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8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海宁市人民政府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47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5E6FB7A3">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AEB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75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2020年度海宁市企业优秀QC小组“二等奖”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E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海宁市质量强市战略领导小组办公室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70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7F0FEB50">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F7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D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X8智能集成灶 中国设计智造大奖2021-佳作奖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C6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中国设计智造大奖组委会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74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31A87270">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9E3">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7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成功设计大赛-成功设计大奖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0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成功设计大赛组织委员会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A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31012BB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9B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5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“浙江制造”团体标准参编单位-标准贡献奖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1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浙江省燃气具和厨具厨电行业协会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58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739AFAB4">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416">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6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智能之星-Q6BC型集成灶</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A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浙江省燃气具和厨具厨电行业协会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0F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2021</w:t>
            </w:r>
          </w:p>
        </w:tc>
      </w:tr>
      <w:tr w14:paraId="3E9C80E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69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0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2021年度嘉兴引才绩效奖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4E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中共嘉兴市委人才工作领导小组办公室</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嘉兴市人力资源和社会保障局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01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26A117E5">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5E6F">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E0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海宁市工商业联合会第十一届执行委员会副主席-黄卫斌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81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海宁市工商业联合会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CC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43EE4975">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2F4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A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2021年度先进企业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A7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浙江省家居行业协会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1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1CBA15D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1E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5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2021年度制造业税收贡献-十强企业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D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中共海宁市委</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海宁市人民政府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49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49B1DD71">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945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5B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智能工厂（数字化车间）-示范企业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4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中共海宁市委</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海宁市人民政府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96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68F17F18">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ABB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D8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全国产品和服务质量诚信领先品牌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88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A1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07DF9E05">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A3E6">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D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全国产品和服务质量诚信示范企业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26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47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4E2BE574">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A017">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6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全国消费者质量信誉保障产品</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4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58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052244C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FF9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FE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21年度科创先进之星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5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中共黄湾镇委员会</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黄湾镇人民政府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16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1E4F3AE7">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A71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C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21年度品质实力之星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8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中共黄湾镇委员会</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黄湾镇人民政府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29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13CB85DC">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9D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7D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21年度安全生产规范化管理先进企业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9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海宁市黄湾镇人民政府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C4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674247CE">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B64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7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体验消费教育基地-放心消费企业学堂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F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海宁市市场监督管理局</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海宁市消费者权益保护委员会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E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3373401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8EA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D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22年度家电服务业品牌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F6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中国家用电器服务维修协会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9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264B23F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123">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5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数字化改造先进企业（省级新一代信息技术与制造业融合发展试点示范）</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F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海宁市工业强市建设工作领导小组办公室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44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06D57FC1">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94E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80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数字化改造先进企业（省级智能工厂）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2E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海宁市工业强市建设工作领导小组办公室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9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1E13693">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6417">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47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数字化改造先进企业（浙江省2022年度生产制造方式转型示范项目（数字化（智能化））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2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海宁市工业强市建设工作领导小组办公室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21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685C0633">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36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C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数字化改造先进企业（省级工业互联网平台创建名单）</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4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海宁市工业强市建设工作领导小组办公室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FD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537D03EE">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07F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45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数字化改造先进企业（省级工业互联网平台）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BD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海宁市工业强市建设工作领导小组办公室</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1E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5C6223EF">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294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4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火星人数字化转型之智能工厂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C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中关村数字经济产业联盟</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BC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EFDEE0E">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5E7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CB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2021年度大学生引才优秀企业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B1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海宁市人力资源和社会保障局</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0B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01919D77">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E1C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81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省级新零售示范企业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DA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浙江省商务厅</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72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8F4963E">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43E9">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8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技术突破奖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7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C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EEFE5C7">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9B9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C2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海宁市清廉民营企业建设示范单位</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6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中共海宁市委统战部、海宁市工商联</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6E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23DA7F90">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1DC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11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T7BC型集成灶设计创意奖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7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89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0B29C64C">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779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9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X5BCZ02型集成灶设计创意奖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2B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7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AC4C7AF">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56BB">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E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节能之星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D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CE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2871AE6A">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070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9F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智能之星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B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18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20CA50C8">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DCF8">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F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质量标杆企业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12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61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3703AE1D">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BFE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F3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智能制造标杆企业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3C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浙江省燃气和厨具厨电行业协会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C2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2022</w:t>
            </w:r>
          </w:p>
        </w:tc>
      </w:tr>
      <w:tr w14:paraId="75F0D8D4">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ABD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8E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AWE2023 艾普兰奖 优秀产品奖</w:t>
            </w:r>
          </w:p>
          <w:p w14:paraId="43654A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（集成洗碗机D70）</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90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awe</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52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42DC4DCD">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E0CB">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9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火星人集成灶 连续八年全网销量第一</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C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弗若斯特沙利文（北京）咨询有限公司</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5C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19F0D568">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AE48">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0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2023杰出数智创新典范奖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B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国际智造节</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3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730147C3">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CFF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EF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D70集成洗碗机成功设计奖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B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成功设计大赛组委会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A5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14059959">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4FB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C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全国厨房电器行业质量领先品牌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23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91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56B6D08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3518">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6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全国厨房电器行业质量领先企业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A4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11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7C45CCB6">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D0C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95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全国质量诚信标杆企业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10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中国质量检验协会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75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6E1484B4">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FAE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C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中国集成灶推动落实国务院《大气污染防治行动计划》标杆企业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7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中国五金制品协会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E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1C7DB963">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390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2F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高效环保净化之星证书  JJZT-ET50BC</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19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中国五金制品协会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78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206A6BFB">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761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C1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2023年中国建材网优选品牌 集成灶影响力品牌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1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中国建材网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0A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5B9608BF">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22A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67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2023年度厨卫产业市场影响力十强品牌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FB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中国厨卫产业创新发展峰会组委会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2D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398F9EA2">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004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AD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2023年度厨卫产业科技创新十强品牌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FD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中国厨卫产业创新发展峰会组委会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0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r w14:paraId="0AA4D81F">
        <w:tblPrEx>
          <w:tblCellMar>
            <w:top w:w="0" w:type="dxa"/>
            <w:left w:w="108" w:type="dxa"/>
            <w:bottom w:w="0" w:type="dxa"/>
            <w:right w:w="108" w:type="dxa"/>
          </w:tblCellMar>
        </w:tblPrEx>
        <w:trPr>
          <w:trHeight w:val="7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276">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jc w:val="center"/>
              <w:textAlignment w:val="center"/>
              <w:rPr>
                <w:rFonts w:ascii="宋体" w:hAnsi="宋体" w:eastAsia="宋体" w:cs="宋体"/>
                <w:color w:val="000000"/>
                <w:kern w:val="0"/>
                <w:sz w:val="24"/>
                <w:lang w:bidi="ar"/>
              </w:rPr>
            </w:pPr>
          </w:p>
        </w:tc>
        <w:tc>
          <w:tcPr>
            <w:tcW w:w="5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0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2023年度厨卫产业畅销产品奖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AD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中国厨卫产业创新发展峰会组委会</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66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2023</w:t>
            </w:r>
          </w:p>
        </w:tc>
      </w:tr>
    </w:tbl>
    <w:p w14:paraId="189F1A8F">
      <w:pPr>
        <w:pStyle w:val="2"/>
        <w:keepNext w:val="0"/>
        <w:keepLines w:val="0"/>
        <w:pageBreakBefore w:val="0"/>
        <w:kinsoku/>
        <w:wordWrap/>
        <w:overflowPunct/>
        <w:topLinePunct w:val="0"/>
        <w:autoSpaceDE/>
        <w:autoSpaceDN/>
        <w:bidi w:val="0"/>
        <w:adjustRightInd/>
        <w:snapToGrid/>
        <w:spacing w:line="360" w:lineRule="auto"/>
        <w:rPr>
          <w:rFonts w:asciiTheme="minorEastAsia" w:hAnsiTheme="minorEastAsia" w:eastAsiaTheme="minorEastAsia" w:cstheme="minorEastAsia"/>
          <w:sz w:val="24"/>
        </w:rPr>
      </w:pPr>
    </w:p>
    <w:p w14:paraId="7BB9BD30">
      <w:pPr>
        <w:pStyle w:val="2"/>
        <w:keepNext w:val="0"/>
        <w:keepLines w:val="0"/>
        <w:pageBreakBefore w:val="0"/>
        <w:kinsoku/>
        <w:wordWrap/>
        <w:overflowPunct/>
        <w:topLinePunct w:val="0"/>
        <w:autoSpaceDE/>
        <w:autoSpaceDN/>
        <w:bidi w:val="0"/>
        <w:adjustRightInd/>
        <w:snapToGrid/>
        <w:spacing w:line="360" w:lineRule="auto"/>
        <w:rPr>
          <w:rFonts w:asciiTheme="minorEastAsia" w:hAnsiTheme="minorEastAsia" w:eastAsiaTheme="minorEastAsia" w:cstheme="minorEastAsia"/>
          <w:sz w:val="24"/>
        </w:rPr>
      </w:pPr>
    </w:p>
    <w:p w14:paraId="1D629B0C">
      <w:pPr>
        <w:keepNext w:val="0"/>
        <w:keepLines w:val="0"/>
        <w:pageBreakBefore w:val="0"/>
        <w:kinsoku/>
        <w:wordWrap/>
        <w:overflowPunct/>
        <w:topLinePunct w:val="0"/>
        <w:autoSpaceDE/>
        <w:autoSpaceDN/>
        <w:bidi w:val="0"/>
        <w:adjustRightInd/>
        <w:snapToGrid/>
        <w:spacing w:line="360" w:lineRule="auto"/>
        <w:outlineLvl w:val="0"/>
        <w:rPr>
          <w:rFonts w:asciiTheme="minorEastAsia" w:hAnsiTheme="minorEastAsia" w:cstheme="minorEastAsia"/>
          <w:sz w:val="24"/>
        </w:rPr>
      </w:pPr>
      <w:bookmarkStart w:id="43" w:name="_Toc12501"/>
      <w:bookmarkStart w:id="44" w:name="_Toc20819"/>
      <w:r>
        <w:rPr>
          <w:rFonts w:hint="eastAsia" w:asciiTheme="minorEastAsia" w:hAnsiTheme="minorEastAsia" w:cstheme="minorEastAsia"/>
          <w:sz w:val="24"/>
        </w:rPr>
        <w:t>第三部分 报告结语</w:t>
      </w:r>
      <w:bookmarkEnd w:id="43"/>
      <w:bookmarkEnd w:id="44"/>
    </w:p>
    <w:p w14:paraId="748DA98D">
      <w:pPr>
        <w:keepNext w:val="0"/>
        <w:keepLines w:val="0"/>
        <w:pageBreakBefore w:val="0"/>
        <w:kinsoku/>
        <w:wordWrap/>
        <w:overflowPunct/>
        <w:topLinePunct w:val="0"/>
        <w:autoSpaceDE/>
        <w:autoSpaceDN/>
        <w:bidi w:val="0"/>
        <w:adjustRightInd/>
        <w:snapToGrid/>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十</w:t>
      </w: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年的发展和创新使火星人在中国集成灶领域已成为社会公认的领导品牌。未来，火星人将继续致力于不断改善厨房油烟问题，创造人类对厨房生活的一切美好向往。</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康UD黑 Std W4">
    <w:altName w:val="黑体"/>
    <w:panose1 w:val="020B0400000000000000"/>
    <w:charset w:val="86"/>
    <w:family w:val="auto"/>
    <w:pitch w:val="default"/>
    <w:sig w:usb0="00000000" w:usb1="00000000" w:usb2="00000012" w:usb3="00000000" w:csb0="0004000D"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5E95">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604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8E689">
                          <w:pPr>
                            <w:pStyle w:val="7"/>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768E689">
                    <w:pPr>
                      <w:pStyle w:val="7"/>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169A">
    <w:pPr>
      <w:jc w:val="right"/>
    </w:pPr>
    <w:r>
      <w:rPr>
        <w:rFonts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-644525</wp:posOffset>
          </wp:positionH>
          <wp:positionV relativeFrom="paragraph">
            <wp:posOffset>-28575</wp:posOffset>
          </wp:positionV>
          <wp:extent cx="1148715" cy="259080"/>
          <wp:effectExtent l="0" t="0" r="0" b="0"/>
          <wp:wrapNone/>
          <wp:docPr id="1045"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2" descr="1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8715" cy="259080"/>
                  </a:xfrm>
                  <a:prstGeom prst="rect">
                    <a:avLst/>
                  </a:prstGeom>
                </pic:spPr>
              </pic:pic>
            </a:graphicData>
          </a:graphic>
        </wp:anchor>
      </w:drawing>
    </w:r>
    <w:r>
      <w:rPr>
        <w:rFonts w:hint="eastAsia"/>
      </w:rPr>
      <w:t>火星人厨具股份有限公司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81BAD"/>
    <w:multiLevelType w:val="singleLevel"/>
    <w:tmpl w:val="DC181BAD"/>
    <w:lvl w:ilvl="0" w:tentative="0">
      <w:start w:val="1"/>
      <w:numFmt w:val="decimal"/>
      <w:lvlText w:val="%1."/>
      <w:lvlJc w:val="left"/>
      <w:pPr>
        <w:ind w:left="425" w:hanging="425"/>
      </w:pPr>
      <w:rPr>
        <w:rFonts w:hint="default"/>
      </w:rPr>
    </w:lvl>
  </w:abstractNum>
  <w:abstractNum w:abstractNumId="1">
    <w:nsid w:val="013F95AA"/>
    <w:multiLevelType w:val="singleLevel"/>
    <w:tmpl w:val="013F95A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mI1MDM3NTM4OGNhZjY0Y2MwODBiOWI4ODhiZGQifQ=="/>
  </w:docVars>
  <w:rsids>
    <w:rsidRoot w:val="099377FC"/>
    <w:rsid w:val="001915D3"/>
    <w:rsid w:val="0028733A"/>
    <w:rsid w:val="002F10EC"/>
    <w:rsid w:val="003639BF"/>
    <w:rsid w:val="00364BE5"/>
    <w:rsid w:val="003D6656"/>
    <w:rsid w:val="00594DD4"/>
    <w:rsid w:val="0059744E"/>
    <w:rsid w:val="00637859"/>
    <w:rsid w:val="00675D64"/>
    <w:rsid w:val="008B32ED"/>
    <w:rsid w:val="00AE000F"/>
    <w:rsid w:val="00AF1302"/>
    <w:rsid w:val="00B35FD3"/>
    <w:rsid w:val="00E80D2F"/>
    <w:rsid w:val="00F02EDD"/>
    <w:rsid w:val="01777A43"/>
    <w:rsid w:val="01AB0DED"/>
    <w:rsid w:val="02250E09"/>
    <w:rsid w:val="02A01AC6"/>
    <w:rsid w:val="03A75EC1"/>
    <w:rsid w:val="06B34F7C"/>
    <w:rsid w:val="07506507"/>
    <w:rsid w:val="0871659C"/>
    <w:rsid w:val="099377FC"/>
    <w:rsid w:val="0BF4406D"/>
    <w:rsid w:val="0C2413C9"/>
    <w:rsid w:val="0D870F11"/>
    <w:rsid w:val="0DF40192"/>
    <w:rsid w:val="0E38655E"/>
    <w:rsid w:val="0EAC15F9"/>
    <w:rsid w:val="0EC57F43"/>
    <w:rsid w:val="0F2A2630"/>
    <w:rsid w:val="10320267"/>
    <w:rsid w:val="10A83678"/>
    <w:rsid w:val="10D93AEF"/>
    <w:rsid w:val="11E64458"/>
    <w:rsid w:val="120C7C36"/>
    <w:rsid w:val="14223741"/>
    <w:rsid w:val="16FC70EC"/>
    <w:rsid w:val="177C760C"/>
    <w:rsid w:val="17995E82"/>
    <w:rsid w:val="180F6B1A"/>
    <w:rsid w:val="181B6E25"/>
    <w:rsid w:val="19B17A41"/>
    <w:rsid w:val="1AA51A88"/>
    <w:rsid w:val="1D3F5444"/>
    <w:rsid w:val="1D6B35BE"/>
    <w:rsid w:val="1F602E36"/>
    <w:rsid w:val="24BD43B4"/>
    <w:rsid w:val="289724F8"/>
    <w:rsid w:val="2AC72427"/>
    <w:rsid w:val="2C576404"/>
    <w:rsid w:val="2D742E08"/>
    <w:rsid w:val="2D7554A4"/>
    <w:rsid w:val="2DB021F2"/>
    <w:rsid w:val="2E1D333A"/>
    <w:rsid w:val="330A3BC6"/>
    <w:rsid w:val="337C47C4"/>
    <w:rsid w:val="346B4900"/>
    <w:rsid w:val="34A9783B"/>
    <w:rsid w:val="383513E6"/>
    <w:rsid w:val="38523836"/>
    <w:rsid w:val="38EE1CC0"/>
    <w:rsid w:val="3A573895"/>
    <w:rsid w:val="3DEB2C72"/>
    <w:rsid w:val="3E155840"/>
    <w:rsid w:val="42153FAF"/>
    <w:rsid w:val="43246CE1"/>
    <w:rsid w:val="45AE204E"/>
    <w:rsid w:val="45B47BFC"/>
    <w:rsid w:val="47621510"/>
    <w:rsid w:val="4A5A1C87"/>
    <w:rsid w:val="4C0769AE"/>
    <w:rsid w:val="4C7107E7"/>
    <w:rsid w:val="4E9A470A"/>
    <w:rsid w:val="4EAF7709"/>
    <w:rsid w:val="4EF21788"/>
    <w:rsid w:val="528B0128"/>
    <w:rsid w:val="54C70E60"/>
    <w:rsid w:val="55A63E31"/>
    <w:rsid w:val="60624BBE"/>
    <w:rsid w:val="64065A90"/>
    <w:rsid w:val="66507756"/>
    <w:rsid w:val="678E6274"/>
    <w:rsid w:val="68D57BEE"/>
    <w:rsid w:val="71AA3CCF"/>
    <w:rsid w:val="73C7645B"/>
    <w:rsid w:val="73E105F6"/>
    <w:rsid w:val="74CD05A6"/>
    <w:rsid w:val="76E34350"/>
    <w:rsid w:val="778503F9"/>
    <w:rsid w:val="789204B8"/>
    <w:rsid w:val="78E21FA1"/>
    <w:rsid w:val="797B2CFA"/>
    <w:rsid w:val="797B41A3"/>
    <w:rsid w:val="7A083C60"/>
    <w:rsid w:val="7A75245E"/>
    <w:rsid w:val="7AF10BC1"/>
    <w:rsid w:val="7B4007DA"/>
    <w:rsid w:val="7C7970C0"/>
    <w:rsid w:val="7CA9429B"/>
    <w:rsid w:val="7DB81102"/>
    <w:rsid w:val="7DD65E4C"/>
    <w:rsid w:val="7FDC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00" w:lineRule="auto"/>
      <w:ind w:firstLine="420"/>
    </w:pPr>
    <w:rPr>
      <w:rFonts w:ascii="Calibri" w:hAnsi="Calibri" w:eastAsia="宋体" w:cs="Times New Roman"/>
    </w:rPr>
  </w:style>
  <w:style w:type="paragraph" w:styleId="3">
    <w:name w:val="Body Text Indent"/>
    <w:basedOn w:val="1"/>
    <w:qFormat/>
    <w:uiPriority w:val="0"/>
    <w:pPr>
      <w:spacing w:after="120"/>
      <w:ind w:left="420" w:leftChars="200"/>
    </w:pPr>
  </w:style>
  <w:style w:type="paragraph" w:styleId="4">
    <w:name w:val="annotation text"/>
    <w:basedOn w:val="1"/>
    <w:link w:val="22"/>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4"/>
    <w:next w:val="4"/>
    <w:link w:val="23"/>
    <w:qFormat/>
    <w:uiPriority w:val="0"/>
    <w:rPr>
      <w:b/>
      <w:bCs/>
    </w:rPr>
  </w:style>
  <w:style w:type="character" w:styleId="15">
    <w:name w:val="annotation reference"/>
    <w:basedOn w:val="14"/>
    <w:qFormat/>
    <w:uiPriority w:val="0"/>
    <w:rPr>
      <w:sz w:val="21"/>
      <w:szCs w:val="21"/>
    </w:rPr>
  </w:style>
  <w:style w:type="character" w:customStyle="1" w:styleId="16">
    <w:name w:val="font21"/>
    <w:basedOn w:val="14"/>
    <w:qFormat/>
    <w:uiPriority w:val="0"/>
    <w:rPr>
      <w:rFonts w:hint="eastAsia" w:ascii="宋体" w:hAnsi="宋体" w:eastAsia="宋体" w:cs="宋体"/>
      <w:color w:val="00CCFF"/>
      <w:sz w:val="24"/>
      <w:szCs w:val="24"/>
      <w:u w:val="none"/>
    </w:rPr>
  </w:style>
  <w:style w:type="character" w:customStyle="1" w:styleId="17">
    <w:name w:val="font01"/>
    <w:basedOn w:val="14"/>
    <w:qFormat/>
    <w:uiPriority w:val="0"/>
    <w:rPr>
      <w:rFonts w:hint="eastAsia" w:ascii="宋体" w:hAnsi="宋体" w:eastAsia="宋体" w:cs="宋体"/>
      <w:color w:val="000000"/>
      <w:sz w:val="24"/>
      <w:szCs w:val="24"/>
      <w:u w:val="none"/>
    </w:rPr>
  </w:style>
  <w:style w:type="character" w:customStyle="1" w:styleId="18">
    <w:name w:val="font31"/>
    <w:basedOn w:val="14"/>
    <w:qFormat/>
    <w:uiPriority w:val="0"/>
    <w:rPr>
      <w:rFonts w:hint="eastAsia" w:ascii="宋体" w:hAnsi="宋体" w:eastAsia="宋体" w:cs="宋体"/>
      <w:color w:val="00CCFF"/>
      <w:sz w:val="24"/>
      <w:szCs w:val="24"/>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2">
    <w:name w:val="批注文字 字符"/>
    <w:basedOn w:val="14"/>
    <w:link w:val="4"/>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2"/>
    <w:qFormat/>
    <w:uiPriority w:val="0"/>
    <w:rPr>
      <w:rFonts w:asciiTheme="minorHAnsi" w:hAnsiTheme="minorHAnsi" w:eastAsiaTheme="minorEastAsia" w:cstheme="minorBidi"/>
      <w:b/>
      <w:bCs/>
      <w:kern w:val="2"/>
      <w:sz w:val="21"/>
      <w:szCs w:val="24"/>
    </w:rPr>
  </w:style>
  <w:style w:type="character" w:customStyle="1" w:styleId="24">
    <w:name w:val="批注框文本 字符"/>
    <w:basedOn w:val="14"/>
    <w:link w:val="6"/>
    <w:qFormat/>
    <w:uiPriority w:val="0"/>
    <w:rPr>
      <w:rFonts w:asciiTheme="minorHAnsi" w:hAnsiTheme="minorHAnsi" w:eastAsiaTheme="minorEastAsia" w:cstheme="minorBidi"/>
      <w:kern w:val="2"/>
      <w:sz w:val="18"/>
      <w:szCs w:val="18"/>
    </w:rPr>
  </w:style>
  <w:style w:type="paragraph" w:customStyle="1" w:styleId="25">
    <w:name w:val="图表标题"/>
    <w:next w:val="1"/>
    <w:qFormat/>
    <w:uiPriority w:val="0"/>
    <w:pPr>
      <w:spacing w:before="25" w:beforeLines="25" w:after="25" w:afterLines="25" w:line="300" w:lineRule="auto"/>
      <w:jc w:val="center"/>
    </w:pPr>
    <w:rPr>
      <w:rFonts w:ascii="Times New Roman" w:hAnsi="Times New Roman" w:eastAsia="楷体" w:cs="Times New Roman"/>
      <w:b/>
      <w:color w:val="000000"/>
      <w:sz w:val="28"/>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11926</Words>
  <Characters>12597</Characters>
  <Lines>104</Lines>
  <Paragraphs>29</Paragraphs>
  <TotalTime>4</TotalTime>
  <ScaleCrop>false</ScaleCrop>
  <LinksUpToDate>false</LinksUpToDate>
  <CharactersWithSpaces>12785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2022-10-25T02:04:00Z</dcterms:created>
  <dc:creator>酱油加点醋</dc:creator>
  <cp:lastModifiedBy>张晓佳</cp:lastModifiedBy>
  <dcterms:modified xsi:type="dcterms:W3CDTF">2024-08-13T02:28:52Z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DDAE95876EA24C309800AD5286AD2BB1_13</vt:lpwstr>
  </property>
  <property fmtid="{D5CDD505-2E9C-101B-9397-08002B2CF9AE}" pid="4" name="_KSOProductBuildMID">
    <vt:lpwstr>SVWF06GQ7R9Q06BGRZR8YL0C7NN0OAVR9F0XBJEOXFM8TE5TZIBJQC0IFYYTPDRRAXMXJOLIZH578LXJQXFAQFFT8RMMWIWB8XODRHB34243F80C32B8ED0BEA39F2013C365145</vt:lpwstr>
  </property>
  <property fmtid="{D5CDD505-2E9C-101B-9397-08002B2CF9AE}" pid="5" name="_KSOProductBuildSID">
    <vt:lpwstr>A67BCB7566B85F568C43BF6857224CAC</vt:lpwstr>
  </property>
</Properties>
</file>